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97604" w14:textId="14AE5197" w:rsidR="009E4E4F" w:rsidRPr="009E7B49" w:rsidRDefault="009E4E4F" w:rsidP="00371F66">
      <w:pPr>
        <w:spacing w:before="100" w:after="100" w:line="252" w:lineRule="auto"/>
        <w:jc w:val="both"/>
        <w:rPr>
          <w:rFonts w:asciiTheme="majorHAnsi" w:hAnsiTheme="majorHAnsi" w:cstheme="majorHAnsi"/>
        </w:rPr>
      </w:pPr>
      <w:r w:rsidRPr="009E7B49">
        <w:rPr>
          <w:rFonts w:asciiTheme="majorHAnsi" w:hAnsiTheme="majorHAnsi" w:cstheme="majorHAnsi"/>
          <w:noProof/>
          <w:lang w:eastAsia="de-DE"/>
        </w:rPr>
        <w:drawing>
          <wp:inline distT="0" distB="0" distL="0" distR="0" wp14:anchorId="4D7CC905" wp14:editId="7524F534">
            <wp:extent cx="1587500" cy="374826"/>
            <wp:effectExtent l="0" t="0" r="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1840" t="10913" r="14351" b="72222"/>
                    <a:stretch/>
                  </pic:blipFill>
                  <pic:spPr bwMode="auto">
                    <a:xfrm>
                      <a:off x="0" y="0"/>
                      <a:ext cx="1784750" cy="421399"/>
                    </a:xfrm>
                    <a:prstGeom prst="rect">
                      <a:avLst/>
                    </a:prstGeom>
                    <a:ln>
                      <a:noFill/>
                    </a:ln>
                    <a:extLst>
                      <a:ext uri="{53640926-AAD7-44D8-BBD7-CCE9431645EC}">
                        <a14:shadowObscured xmlns:a14="http://schemas.microsoft.com/office/drawing/2010/main"/>
                      </a:ext>
                    </a:extLst>
                  </pic:spPr>
                </pic:pic>
              </a:graphicData>
            </a:graphic>
          </wp:inline>
        </w:drawing>
      </w:r>
      <w:r w:rsidRPr="009E7B49">
        <w:rPr>
          <w:rFonts w:asciiTheme="majorHAnsi" w:hAnsiTheme="majorHAnsi" w:cstheme="majorHAnsi"/>
        </w:rPr>
        <w:tab/>
      </w:r>
      <w:r w:rsidRPr="009E7B49">
        <w:rPr>
          <w:rFonts w:asciiTheme="majorHAnsi" w:hAnsiTheme="majorHAnsi" w:cstheme="majorHAnsi"/>
        </w:rPr>
        <w:tab/>
      </w:r>
      <w:r w:rsidRPr="009E7B49">
        <w:rPr>
          <w:rFonts w:asciiTheme="majorHAnsi" w:hAnsiTheme="majorHAnsi" w:cstheme="majorHAnsi"/>
        </w:rPr>
        <w:tab/>
      </w:r>
      <w:r w:rsidR="00F93F20" w:rsidRPr="009E7B49">
        <w:rPr>
          <w:rFonts w:asciiTheme="majorHAnsi" w:hAnsiTheme="majorHAnsi" w:cstheme="majorHAnsi"/>
        </w:rPr>
        <w:tab/>
      </w:r>
      <w:r w:rsidR="00371F66" w:rsidRPr="009E7B49">
        <w:rPr>
          <w:rFonts w:asciiTheme="majorHAnsi" w:hAnsiTheme="majorHAnsi" w:cstheme="majorHAnsi"/>
        </w:rPr>
        <w:tab/>
      </w:r>
      <w:r w:rsidR="00371F66" w:rsidRPr="009E7B49">
        <w:rPr>
          <w:rFonts w:asciiTheme="majorHAnsi" w:hAnsiTheme="majorHAnsi" w:cstheme="majorHAnsi"/>
        </w:rPr>
        <w:tab/>
      </w:r>
      <w:r w:rsidR="00371F66" w:rsidRPr="009E7B49">
        <w:rPr>
          <w:rFonts w:asciiTheme="majorHAnsi" w:hAnsiTheme="majorHAnsi" w:cstheme="majorHAnsi"/>
        </w:rPr>
        <w:tab/>
      </w:r>
      <w:r w:rsidRPr="009E7B49">
        <w:rPr>
          <w:rFonts w:asciiTheme="majorHAnsi" w:hAnsiTheme="majorHAnsi" w:cstheme="majorHAnsi"/>
          <w:noProof/>
          <w:lang w:eastAsia="de-DE"/>
        </w:rPr>
        <w:drawing>
          <wp:inline distT="0" distB="0" distL="0" distR="0" wp14:anchorId="609BD6AD" wp14:editId="7EC09F57">
            <wp:extent cx="685800" cy="385837"/>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sm_EFRE_Bayern_4d4e6d7e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476" cy="447542"/>
                    </a:xfrm>
                    <a:prstGeom prst="rect">
                      <a:avLst/>
                    </a:prstGeom>
                  </pic:spPr>
                </pic:pic>
              </a:graphicData>
            </a:graphic>
          </wp:inline>
        </w:drawing>
      </w:r>
    </w:p>
    <w:p w14:paraId="0AF160E1" w14:textId="77777777" w:rsidR="009E4E4F" w:rsidRPr="009E7B49" w:rsidRDefault="009E4E4F" w:rsidP="00CE780A">
      <w:pPr>
        <w:spacing w:before="100" w:after="100" w:line="252" w:lineRule="auto"/>
        <w:ind w:left="6372" w:firstLine="708"/>
        <w:jc w:val="both"/>
        <w:rPr>
          <w:rFonts w:asciiTheme="majorHAnsi" w:hAnsiTheme="majorHAnsi" w:cstheme="majorHAnsi"/>
        </w:rPr>
      </w:pPr>
      <w:r w:rsidRPr="009E7B49">
        <w:rPr>
          <w:rFonts w:asciiTheme="majorHAnsi" w:hAnsiTheme="majorHAnsi" w:cstheme="majorHAnsi"/>
          <w:noProof/>
          <w:lang w:eastAsia="de-DE"/>
        </w:rPr>
        <w:drawing>
          <wp:inline distT="0" distB="0" distL="0" distR="0" wp14:anchorId="504408B2" wp14:editId="107BF9AE">
            <wp:extent cx="1328616" cy="3302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FRE-Foerderhinwei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9111" cy="372573"/>
                    </a:xfrm>
                    <a:prstGeom prst="rect">
                      <a:avLst/>
                    </a:prstGeom>
                  </pic:spPr>
                </pic:pic>
              </a:graphicData>
            </a:graphic>
          </wp:inline>
        </w:drawing>
      </w:r>
    </w:p>
    <w:p w14:paraId="24FB95C1" w14:textId="2A1B16F7" w:rsidR="00042F02" w:rsidRDefault="008A52C0" w:rsidP="00371F66">
      <w:pPr>
        <w:spacing w:before="100" w:after="100" w:line="252" w:lineRule="auto"/>
        <w:jc w:val="center"/>
        <w:rPr>
          <w:rFonts w:asciiTheme="majorHAnsi" w:hAnsiTheme="majorHAnsi" w:cstheme="majorHAnsi"/>
          <w:b/>
          <w:bCs/>
          <w:u w:val="single"/>
        </w:rPr>
      </w:pPr>
      <w:r>
        <w:rPr>
          <w:rFonts w:asciiTheme="majorHAnsi" w:hAnsiTheme="majorHAnsi" w:cstheme="majorHAnsi"/>
          <w:b/>
          <w:bCs/>
          <w:u w:val="single"/>
        </w:rPr>
        <w:t>Videokonferenz</w:t>
      </w:r>
      <w:r w:rsidR="008342AC">
        <w:rPr>
          <w:rFonts w:asciiTheme="majorHAnsi" w:hAnsiTheme="majorHAnsi" w:cstheme="majorHAnsi"/>
          <w:b/>
          <w:bCs/>
          <w:u w:val="single"/>
        </w:rPr>
        <w:t xml:space="preserve"> im </w:t>
      </w:r>
      <w:r>
        <w:rPr>
          <w:rFonts w:asciiTheme="majorHAnsi" w:hAnsiTheme="majorHAnsi" w:cstheme="majorHAnsi"/>
          <w:b/>
          <w:bCs/>
          <w:u w:val="single"/>
        </w:rPr>
        <w:t>Zivilprozess</w:t>
      </w:r>
    </w:p>
    <w:p w14:paraId="3C48F162" w14:textId="6018F79E" w:rsidR="008342AC" w:rsidRPr="00134EB0" w:rsidRDefault="0024219A" w:rsidP="00134EB0">
      <w:pPr>
        <w:spacing w:before="100" w:after="100" w:line="252" w:lineRule="auto"/>
        <w:jc w:val="both"/>
        <w:rPr>
          <w:rFonts w:asciiTheme="majorHAnsi" w:hAnsiTheme="majorHAnsi" w:cstheme="majorHAnsi"/>
        </w:rPr>
      </w:pPr>
      <w:r w:rsidRPr="0024219A">
        <w:rPr>
          <w:rFonts w:asciiTheme="majorHAnsi" w:hAnsiTheme="majorHAnsi" w:cstheme="majorHAnsi"/>
        </w:rPr>
        <w:t>Die Corona-Pandemie erweist sich als Techniktreiber</w:t>
      </w:r>
      <w:r>
        <w:rPr>
          <w:rFonts w:asciiTheme="majorHAnsi" w:hAnsiTheme="majorHAnsi" w:cstheme="majorHAnsi"/>
        </w:rPr>
        <w:t xml:space="preserve"> </w:t>
      </w:r>
      <w:r w:rsidRPr="0024219A">
        <w:rPr>
          <w:rFonts w:asciiTheme="majorHAnsi" w:hAnsiTheme="majorHAnsi" w:cstheme="majorHAnsi"/>
        </w:rPr>
        <w:t>im Gerichtsalltag.</w:t>
      </w:r>
      <w:r>
        <w:rPr>
          <w:rStyle w:val="Funotenzeichen"/>
          <w:rFonts w:asciiTheme="majorHAnsi" w:hAnsiTheme="majorHAnsi" w:cstheme="majorHAnsi"/>
        </w:rPr>
        <w:footnoteReference w:id="1"/>
      </w:r>
      <w:r w:rsidR="008342AC" w:rsidRPr="00134EB0">
        <w:rPr>
          <w:rFonts w:asciiTheme="majorHAnsi" w:hAnsiTheme="majorHAnsi" w:cstheme="majorHAnsi"/>
        </w:rPr>
        <w:t xml:space="preserve"> </w:t>
      </w:r>
      <w:r>
        <w:rPr>
          <w:rFonts w:asciiTheme="majorHAnsi" w:hAnsiTheme="majorHAnsi" w:cstheme="majorHAnsi"/>
        </w:rPr>
        <w:t>Zum einen laufen schon seit einigen Jahren Pilotprojekte, wie die Einführung von eAkten</w:t>
      </w:r>
      <w:r>
        <w:rPr>
          <w:rStyle w:val="Funotenzeichen"/>
          <w:rFonts w:asciiTheme="majorHAnsi" w:hAnsiTheme="majorHAnsi" w:cstheme="majorHAnsi"/>
        </w:rPr>
        <w:footnoteReference w:id="2"/>
      </w:r>
      <w:r>
        <w:rPr>
          <w:rFonts w:asciiTheme="majorHAnsi" w:hAnsiTheme="majorHAnsi" w:cstheme="majorHAnsi"/>
        </w:rPr>
        <w:t>, zum anderen wird</w:t>
      </w:r>
      <w:r w:rsidRPr="00134EB0">
        <w:rPr>
          <w:rFonts w:asciiTheme="majorHAnsi" w:hAnsiTheme="majorHAnsi" w:cstheme="majorHAnsi"/>
        </w:rPr>
        <w:t xml:space="preserve"> </w:t>
      </w:r>
      <w:r w:rsidR="008342AC" w:rsidRPr="00134EB0">
        <w:rPr>
          <w:rFonts w:asciiTheme="majorHAnsi" w:hAnsiTheme="majorHAnsi" w:cstheme="majorHAnsi"/>
        </w:rPr>
        <w:t>immer häufiger von der Möglichkeit Gebrauch gemacht, per Videokonferenz im Zivilprozess mündliche Verhandlungen durchzuführen</w:t>
      </w:r>
      <w:r>
        <w:rPr>
          <w:rFonts w:asciiTheme="majorHAnsi" w:hAnsiTheme="majorHAnsi" w:cstheme="majorHAnsi"/>
        </w:rPr>
        <w:t>.</w:t>
      </w:r>
      <w:r>
        <w:rPr>
          <w:rStyle w:val="Funotenzeichen"/>
          <w:rFonts w:asciiTheme="majorHAnsi" w:hAnsiTheme="majorHAnsi" w:cstheme="majorHAnsi"/>
        </w:rPr>
        <w:footnoteReference w:id="3"/>
      </w:r>
      <w:r>
        <w:rPr>
          <w:rFonts w:asciiTheme="majorHAnsi" w:hAnsiTheme="majorHAnsi" w:cstheme="majorHAnsi"/>
        </w:rPr>
        <w:t xml:space="preserve"> </w:t>
      </w:r>
      <w:r>
        <w:rPr>
          <w:rFonts w:asciiTheme="majorHAnsi" w:hAnsiTheme="majorHAnsi" w:cstheme="majorHAnsi"/>
          <w:color w:val="141414"/>
          <w:shd w:val="clear" w:color="auto" w:fill="FFFFFF"/>
        </w:rPr>
        <w:t>Es</w:t>
      </w:r>
      <w:r w:rsidR="008342AC" w:rsidRPr="00134EB0">
        <w:rPr>
          <w:rFonts w:asciiTheme="majorHAnsi" w:hAnsiTheme="majorHAnsi" w:cstheme="majorHAnsi"/>
          <w:color w:val="141414"/>
          <w:shd w:val="clear" w:color="auto" w:fill="FFFFFF"/>
        </w:rPr>
        <w:t xml:space="preserve"> zeigt sich</w:t>
      </w:r>
      <w:r>
        <w:rPr>
          <w:rFonts w:asciiTheme="majorHAnsi" w:hAnsiTheme="majorHAnsi" w:cstheme="majorHAnsi"/>
          <w:color w:val="141414"/>
          <w:shd w:val="clear" w:color="auto" w:fill="FFFFFF"/>
        </w:rPr>
        <w:t xml:space="preserve"> nun</w:t>
      </w:r>
      <w:r w:rsidR="008342AC" w:rsidRPr="00134EB0">
        <w:rPr>
          <w:rFonts w:asciiTheme="majorHAnsi" w:hAnsiTheme="majorHAnsi" w:cstheme="majorHAnsi"/>
          <w:color w:val="141414"/>
          <w:shd w:val="clear" w:color="auto" w:fill="FFFFFF"/>
        </w:rPr>
        <w:t xml:space="preserve">, dass die geltende </w:t>
      </w:r>
      <w:r w:rsidR="008342AC" w:rsidRPr="00E05081">
        <w:rPr>
          <w:rFonts w:asciiTheme="majorHAnsi" w:hAnsiTheme="majorHAnsi" w:cstheme="majorHAnsi"/>
          <w:shd w:val="clear" w:color="auto" w:fill="FFFFFF"/>
        </w:rPr>
        <w:t>Regelung des </w:t>
      </w:r>
      <w:r w:rsidR="008342AC" w:rsidRPr="00E05081">
        <w:rPr>
          <w:rStyle w:val="zit"/>
          <w:rFonts w:asciiTheme="majorHAnsi" w:hAnsiTheme="majorHAnsi" w:cstheme="majorHAnsi"/>
          <w:shd w:val="clear" w:color="auto" w:fill="FFFFFF"/>
        </w:rPr>
        <w:t>§ </w:t>
      </w:r>
      <w:hyperlink r:id="rId11" w:history="1">
        <w:r w:rsidR="008342AC" w:rsidRPr="00E05081">
          <w:rPr>
            <w:rStyle w:val="Hyperlink"/>
            <w:rFonts w:asciiTheme="majorHAnsi" w:hAnsiTheme="majorHAnsi" w:cstheme="majorHAnsi"/>
            <w:color w:val="auto"/>
            <w:u w:val="none"/>
            <w:shd w:val="clear" w:color="auto" w:fill="FFFFFF"/>
          </w:rPr>
          <w:t>128 a</w:t>
        </w:r>
      </w:hyperlink>
      <w:r w:rsidR="008342AC" w:rsidRPr="00E05081">
        <w:rPr>
          <w:rStyle w:val="zit"/>
          <w:rFonts w:asciiTheme="majorHAnsi" w:hAnsiTheme="majorHAnsi" w:cstheme="majorHAnsi"/>
          <w:shd w:val="clear" w:color="auto" w:fill="FFFFFF"/>
        </w:rPr>
        <w:t> ZPO</w:t>
      </w:r>
      <w:r w:rsidR="008342AC" w:rsidRPr="00E05081">
        <w:rPr>
          <w:rFonts w:asciiTheme="majorHAnsi" w:hAnsiTheme="majorHAnsi" w:cstheme="majorHAnsi"/>
          <w:shd w:val="clear" w:color="auto" w:fill="FFFFFF"/>
        </w:rPr>
        <w:t>  vor dem „Internetvideo-Zeitalter“ konzipiert wurde.</w:t>
      </w:r>
      <w:r w:rsidR="008342AC" w:rsidRPr="00E05081">
        <w:rPr>
          <w:rStyle w:val="Funotenzeichen"/>
          <w:rFonts w:asciiTheme="majorHAnsi" w:hAnsiTheme="majorHAnsi" w:cstheme="majorHAnsi"/>
          <w:shd w:val="clear" w:color="auto" w:fill="FFFFFF"/>
        </w:rPr>
        <w:footnoteReference w:id="4"/>
      </w:r>
      <w:r w:rsidR="008342AC" w:rsidRPr="00E05081">
        <w:rPr>
          <w:rFonts w:asciiTheme="majorHAnsi" w:hAnsiTheme="majorHAnsi" w:cstheme="majorHAnsi"/>
          <w:shd w:val="clear" w:color="auto" w:fill="FFFFFF"/>
        </w:rPr>
        <w:t xml:space="preserve"> </w:t>
      </w:r>
      <w:r w:rsidR="00E44B8E" w:rsidRPr="00E44B8E">
        <w:rPr>
          <w:rFonts w:asciiTheme="majorHAnsi" w:hAnsiTheme="majorHAnsi" w:cstheme="majorHAnsi"/>
          <w:shd w:val="clear" w:color="auto" w:fill="FFFFFF"/>
        </w:rPr>
        <w:t xml:space="preserve">Die Anwendung der Vorschrift </w:t>
      </w:r>
      <w:r w:rsidR="00E44B8E">
        <w:rPr>
          <w:rFonts w:asciiTheme="majorHAnsi" w:hAnsiTheme="majorHAnsi" w:cstheme="majorHAnsi"/>
          <w:shd w:val="clear" w:color="auto" w:fill="FFFFFF"/>
        </w:rPr>
        <w:t>bedarf</w:t>
      </w:r>
      <w:r w:rsidR="00E44B8E" w:rsidRPr="00E44B8E">
        <w:rPr>
          <w:rFonts w:asciiTheme="majorHAnsi" w:hAnsiTheme="majorHAnsi" w:cstheme="majorHAnsi"/>
          <w:shd w:val="clear" w:color="auto" w:fill="FFFFFF"/>
        </w:rPr>
        <w:t xml:space="preserve"> </w:t>
      </w:r>
      <w:r w:rsidR="00E44B8E">
        <w:rPr>
          <w:rFonts w:asciiTheme="majorHAnsi" w:hAnsiTheme="majorHAnsi" w:cstheme="majorHAnsi"/>
          <w:shd w:val="clear" w:color="auto" w:fill="FFFFFF"/>
        </w:rPr>
        <w:t xml:space="preserve">zudem </w:t>
      </w:r>
      <w:r w:rsidR="00E44B8E" w:rsidRPr="00E44B8E">
        <w:rPr>
          <w:rFonts w:asciiTheme="majorHAnsi" w:hAnsiTheme="majorHAnsi" w:cstheme="majorHAnsi"/>
          <w:shd w:val="clear" w:color="auto" w:fill="FFFFFF"/>
        </w:rPr>
        <w:t>eine</w:t>
      </w:r>
      <w:r w:rsidR="00E44B8E">
        <w:rPr>
          <w:rFonts w:asciiTheme="majorHAnsi" w:hAnsiTheme="majorHAnsi" w:cstheme="majorHAnsi"/>
          <w:shd w:val="clear" w:color="auto" w:fill="FFFFFF"/>
        </w:rPr>
        <w:t>r</w:t>
      </w:r>
      <w:r w:rsidR="00E44B8E" w:rsidRPr="00E44B8E">
        <w:rPr>
          <w:rFonts w:asciiTheme="majorHAnsi" w:hAnsiTheme="majorHAnsi" w:cstheme="majorHAnsi"/>
          <w:shd w:val="clear" w:color="auto" w:fill="FFFFFF"/>
        </w:rPr>
        <w:t xml:space="preserve"> entsprechende</w:t>
      </w:r>
      <w:r w:rsidR="00E44B8E">
        <w:rPr>
          <w:rFonts w:asciiTheme="majorHAnsi" w:hAnsiTheme="majorHAnsi" w:cstheme="majorHAnsi"/>
          <w:shd w:val="clear" w:color="auto" w:fill="FFFFFF"/>
        </w:rPr>
        <w:t>n</w:t>
      </w:r>
      <w:r w:rsidR="00E44B8E" w:rsidRPr="00E44B8E">
        <w:rPr>
          <w:rFonts w:asciiTheme="majorHAnsi" w:hAnsiTheme="majorHAnsi" w:cstheme="majorHAnsi"/>
          <w:shd w:val="clear" w:color="auto" w:fill="FFFFFF"/>
        </w:rPr>
        <w:t xml:space="preserve"> technische</w:t>
      </w:r>
      <w:r w:rsidR="00E44B8E">
        <w:rPr>
          <w:rFonts w:asciiTheme="majorHAnsi" w:hAnsiTheme="majorHAnsi" w:cstheme="majorHAnsi"/>
          <w:shd w:val="clear" w:color="auto" w:fill="FFFFFF"/>
        </w:rPr>
        <w:t>n</w:t>
      </w:r>
      <w:r w:rsidR="00E44B8E" w:rsidRPr="00E44B8E">
        <w:rPr>
          <w:rFonts w:asciiTheme="majorHAnsi" w:hAnsiTheme="majorHAnsi" w:cstheme="majorHAnsi"/>
          <w:shd w:val="clear" w:color="auto" w:fill="FFFFFF"/>
        </w:rPr>
        <w:t xml:space="preserve"> Ausstattung des Gerichts</w:t>
      </w:r>
      <w:r w:rsidR="00E44B8E">
        <w:rPr>
          <w:rFonts w:asciiTheme="majorHAnsi" w:hAnsiTheme="majorHAnsi" w:cstheme="majorHAnsi"/>
          <w:shd w:val="clear" w:color="auto" w:fill="FFFFFF"/>
        </w:rPr>
        <w:t>, auf die aber k</w:t>
      </w:r>
      <w:r w:rsidR="00E44B8E" w:rsidRPr="00E44B8E">
        <w:rPr>
          <w:rFonts w:asciiTheme="majorHAnsi" w:hAnsiTheme="majorHAnsi" w:cstheme="majorHAnsi"/>
          <w:shd w:val="clear" w:color="auto" w:fill="FFFFFF"/>
        </w:rPr>
        <w:t>ein Anspruch</w:t>
      </w:r>
      <w:r w:rsidR="00E44B8E">
        <w:rPr>
          <w:rFonts w:asciiTheme="majorHAnsi" w:hAnsiTheme="majorHAnsi" w:cstheme="majorHAnsi"/>
          <w:shd w:val="clear" w:color="auto" w:fill="FFFFFF"/>
        </w:rPr>
        <w:t xml:space="preserve"> </w:t>
      </w:r>
      <w:r w:rsidR="00E44B8E" w:rsidRPr="00E44B8E">
        <w:rPr>
          <w:rFonts w:asciiTheme="majorHAnsi" w:hAnsiTheme="majorHAnsi" w:cstheme="majorHAnsi"/>
          <w:shd w:val="clear" w:color="auto" w:fill="FFFFFF"/>
        </w:rPr>
        <w:t>aus der Vorschrift ab</w:t>
      </w:r>
      <w:r w:rsidR="00F25A94">
        <w:rPr>
          <w:rFonts w:asciiTheme="majorHAnsi" w:hAnsiTheme="majorHAnsi" w:cstheme="majorHAnsi"/>
          <w:shd w:val="clear" w:color="auto" w:fill="FFFFFF"/>
        </w:rPr>
        <w:t>ge</w:t>
      </w:r>
      <w:r w:rsidR="00E44B8E" w:rsidRPr="00E44B8E">
        <w:rPr>
          <w:rFonts w:asciiTheme="majorHAnsi" w:hAnsiTheme="majorHAnsi" w:cstheme="majorHAnsi"/>
          <w:shd w:val="clear" w:color="auto" w:fill="FFFFFF"/>
        </w:rPr>
        <w:t>leite</w:t>
      </w:r>
      <w:r w:rsidR="00F25A94">
        <w:rPr>
          <w:rFonts w:asciiTheme="majorHAnsi" w:hAnsiTheme="majorHAnsi" w:cstheme="majorHAnsi"/>
          <w:shd w:val="clear" w:color="auto" w:fill="FFFFFF"/>
        </w:rPr>
        <w:t>t werden kann</w:t>
      </w:r>
      <w:r w:rsidR="00E44B8E" w:rsidRPr="00E44B8E">
        <w:rPr>
          <w:rFonts w:asciiTheme="majorHAnsi" w:hAnsiTheme="majorHAnsi" w:cstheme="majorHAnsi"/>
          <w:shd w:val="clear" w:color="auto" w:fill="FFFFFF"/>
        </w:rPr>
        <w:t>.</w:t>
      </w:r>
      <w:r w:rsidR="00E44B8E">
        <w:rPr>
          <w:rStyle w:val="Funotenzeichen"/>
          <w:rFonts w:asciiTheme="majorHAnsi" w:hAnsiTheme="majorHAnsi" w:cstheme="majorHAnsi"/>
          <w:shd w:val="clear" w:color="auto" w:fill="FFFFFF"/>
        </w:rPr>
        <w:footnoteReference w:id="5"/>
      </w:r>
      <w:r w:rsidR="00E44B8E" w:rsidRPr="00E44B8E">
        <w:rPr>
          <w:rFonts w:asciiTheme="majorHAnsi" w:hAnsiTheme="majorHAnsi" w:cstheme="majorHAnsi"/>
          <w:shd w:val="clear" w:color="auto" w:fill="FFFFFF"/>
        </w:rPr>
        <w:t xml:space="preserve"> </w:t>
      </w:r>
      <w:r w:rsidR="00E44B8E">
        <w:rPr>
          <w:rFonts w:asciiTheme="majorHAnsi" w:hAnsiTheme="majorHAnsi" w:cstheme="majorHAnsi"/>
          <w:shd w:val="clear" w:color="auto" w:fill="FFFFFF"/>
        </w:rPr>
        <w:t>Dennoch sind</w:t>
      </w:r>
      <w:r w:rsidR="008342AC" w:rsidRPr="00E05081">
        <w:rPr>
          <w:rFonts w:asciiTheme="majorHAnsi" w:hAnsiTheme="majorHAnsi" w:cstheme="majorHAnsi"/>
          <w:shd w:val="clear" w:color="auto" w:fill="FFFFFF"/>
        </w:rPr>
        <w:t xml:space="preserve"> in Bayern seit Juli 2021 alle 99 bayerischen Gerichte mit dem Zugang zu Videokonferenzanlagen ausgestattet worden. Insgesamt </w:t>
      </w:r>
      <w:r w:rsidR="00134EB0">
        <w:rPr>
          <w:rFonts w:asciiTheme="majorHAnsi" w:hAnsiTheme="majorHAnsi" w:cstheme="majorHAnsi"/>
          <w:color w:val="141414"/>
          <w:shd w:val="clear" w:color="auto" w:fill="FFFFFF"/>
        </w:rPr>
        <w:t>sind</w:t>
      </w:r>
      <w:r w:rsidR="008342AC" w:rsidRPr="00134EB0">
        <w:rPr>
          <w:rFonts w:asciiTheme="majorHAnsi" w:hAnsiTheme="majorHAnsi" w:cstheme="majorHAnsi"/>
          <w:color w:val="141414"/>
          <w:shd w:val="clear" w:color="auto" w:fill="FFFFFF"/>
        </w:rPr>
        <w:t xml:space="preserve"> 108 Videokonferenzanlagen, insbesondere mit der verstärkten Ausstattung der Gerichte seit dem Jahr 2018, beschaff</w:t>
      </w:r>
      <w:r w:rsidR="005069B8">
        <w:rPr>
          <w:rFonts w:asciiTheme="majorHAnsi" w:hAnsiTheme="majorHAnsi" w:cstheme="majorHAnsi"/>
          <w:color w:val="141414"/>
          <w:shd w:val="clear" w:color="auto" w:fill="FFFFFF"/>
        </w:rPr>
        <w:t>en</w:t>
      </w:r>
      <w:r w:rsidR="008342AC" w:rsidRPr="00134EB0">
        <w:rPr>
          <w:rFonts w:asciiTheme="majorHAnsi" w:hAnsiTheme="majorHAnsi" w:cstheme="majorHAnsi"/>
          <w:color w:val="141414"/>
          <w:shd w:val="clear" w:color="auto" w:fill="FFFFFF"/>
        </w:rPr>
        <w:t xml:space="preserve"> worden.</w:t>
      </w:r>
      <w:r w:rsidR="008342AC" w:rsidRPr="00134EB0">
        <w:rPr>
          <w:rStyle w:val="Funotenzeichen"/>
          <w:rFonts w:asciiTheme="majorHAnsi" w:hAnsiTheme="majorHAnsi" w:cstheme="majorHAnsi"/>
          <w:color w:val="141414"/>
          <w:shd w:val="clear" w:color="auto" w:fill="FFFFFF"/>
        </w:rPr>
        <w:footnoteReference w:id="6"/>
      </w:r>
    </w:p>
    <w:p w14:paraId="0BD935FA" w14:textId="3189AF11" w:rsidR="00D12FBD" w:rsidRPr="00134EB0" w:rsidRDefault="000B0CD8" w:rsidP="00C276D7">
      <w:pPr>
        <w:spacing w:before="100" w:after="100" w:line="252" w:lineRule="auto"/>
        <w:jc w:val="both"/>
        <w:rPr>
          <w:rFonts w:asciiTheme="majorHAnsi" w:hAnsiTheme="majorHAnsi" w:cstheme="majorHAnsi"/>
        </w:rPr>
      </w:pPr>
      <w:r w:rsidRPr="000B0CD8">
        <w:rPr>
          <w:rFonts w:asciiTheme="majorHAnsi" w:hAnsiTheme="majorHAnsi" w:cstheme="majorHAnsi"/>
          <w:u w:val="single"/>
        </w:rPr>
        <w:t>Rechtliche Lage</w:t>
      </w:r>
    </w:p>
    <w:p w14:paraId="0A0DE1DE" w14:textId="7AD0CFC7" w:rsidR="00134EB0" w:rsidRDefault="00134EB0" w:rsidP="00C276D7">
      <w:pPr>
        <w:spacing w:before="100" w:after="100" w:line="252" w:lineRule="auto"/>
        <w:jc w:val="both"/>
        <w:rPr>
          <w:rFonts w:asciiTheme="majorHAnsi" w:hAnsiTheme="majorHAnsi" w:cstheme="majorHAnsi"/>
        </w:rPr>
      </w:pPr>
      <w:r w:rsidRPr="00134EB0">
        <w:rPr>
          <w:rFonts w:asciiTheme="majorHAnsi" w:hAnsiTheme="majorHAnsi" w:cstheme="majorHAnsi"/>
        </w:rPr>
        <w:t xml:space="preserve">Nach </w:t>
      </w:r>
      <w:r>
        <w:rPr>
          <w:rFonts w:asciiTheme="majorHAnsi" w:hAnsiTheme="majorHAnsi" w:cstheme="majorHAnsi"/>
        </w:rPr>
        <w:t xml:space="preserve">§ 128a ZPO kann </w:t>
      </w:r>
      <w:r w:rsidRPr="00134EB0">
        <w:rPr>
          <w:rFonts w:asciiTheme="majorHAnsi" w:hAnsiTheme="majorHAnsi" w:cstheme="majorHAnsi"/>
        </w:rPr>
        <w:t>das Gericht den Parteien, ihren Bevollmächtigten und Beiständen auf Antrag oder von Amts wegen gestatten, sich während einer mündlichen Verhandlung an einem anderen Ort aufzuhalten und dort Verfahrenshandlungen vorzunehmen. </w:t>
      </w:r>
      <w:bookmarkStart w:id="0" w:name="Y-100-G-ZPO-P-128A-X-1-Sz-2"/>
      <w:bookmarkEnd w:id="0"/>
      <w:r w:rsidRPr="00134EB0">
        <w:rPr>
          <w:rFonts w:asciiTheme="majorHAnsi" w:hAnsiTheme="majorHAnsi" w:cstheme="majorHAnsi"/>
        </w:rPr>
        <w:t>Die Verhandlung wird zeitgleich in Bild und Ton an diesen Ort und in das Sitzungszimmer übertragen.</w:t>
      </w:r>
    </w:p>
    <w:p w14:paraId="37C00725" w14:textId="051D83F9" w:rsidR="0077723D" w:rsidRDefault="0077723D" w:rsidP="00C276D7">
      <w:pPr>
        <w:spacing w:before="100" w:after="100" w:line="252" w:lineRule="auto"/>
        <w:jc w:val="both"/>
        <w:rPr>
          <w:rFonts w:asciiTheme="majorHAnsi" w:hAnsiTheme="majorHAnsi" w:cstheme="majorHAnsi"/>
        </w:rPr>
      </w:pPr>
      <w:r>
        <w:rPr>
          <w:rFonts w:asciiTheme="majorHAnsi" w:hAnsiTheme="majorHAnsi" w:cstheme="majorHAnsi"/>
        </w:rPr>
        <w:t xml:space="preserve">§ 128a </w:t>
      </w:r>
      <w:r w:rsidRPr="0077723D">
        <w:rPr>
          <w:rFonts w:asciiTheme="majorHAnsi" w:hAnsiTheme="majorHAnsi" w:cstheme="majorHAnsi"/>
        </w:rPr>
        <w:t>Abs. 1</w:t>
      </w:r>
      <w:r>
        <w:rPr>
          <w:rFonts w:asciiTheme="majorHAnsi" w:hAnsiTheme="majorHAnsi" w:cstheme="majorHAnsi"/>
        </w:rPr>
        <w:t xml:space="preserve"> ZPO</w:t>
      </w:r>
      <w:r w:rsidRPr="0077723D">
        <w:rPr>
          <w:rFonts w:asciiTheme="majorHAnsi" w:hAnsiTheme="majorHAnsi" w:cstheme="majorHAnsi"/>
        </w:rPr>
        <w:t xml:space="preserve"> </w:t>
      </w:r>
      <w:r w:rsidR="00E44B8E">
        <w:rPr>
          <w:rFonts w:asciiTheme="majorHAnsi" w:hAnsiTheme="majorHAnsi" w:cstheme="majorHAnsi"/>
        </w:rPr>
        <w:t>erlaubt es</w:t>
      </w:r>
      <w:r w:rsidRPr="0077723D">
        <w:rPr>
          <w:rFonts w:asciiTheme="majorHAnsi" w:hAnsiTheme="majorHAnsi" w:cstheme="majorHAnsi"/>
        </w:rPr>
        <w:t>, die Verhandlung mit einer oder beiden Parteien und</w:t>
      </w:r>
      <w:r w:rsidR="00E44B8E">
        <w:rPr>
          <w:rFonts w:asciiTheme="majorHAnsi" w:hAnsiTheme="majorHAnsi" w:cstheme="majorHAnsi"/>
        </w:rPr>
        <w:t>/</w:t>
      </w:r>
      <w:r w:rsidRPr="0077723D">
        <w:rPr>
          <w:rFonts w:asciiTheme="majorHAnsi" w:hAnsiTheme="majorHAnsi" w:cstheme="majorHAnsi"/>
        </w:rPr>
        <w:t>oder ihren Vertretern im Wege der Bild- und Tonübertragung durchzuführen.</w:t>
      </w:r>
      <w:r w:rsidR="00B074A7">
        <w:rPr>
          <w:rStyle w:val="Funotenzeichen"/>
          <w:rFonts w:asciiTheme="majorHAnsi" w:hAnsiTheme="majorHAnsi" w:cstheme="majorHAnsi"/>
        </w:rPr>
        <w:footnoteReference w:id="7"/>
      </w:r>
      <w:r w:rsidRPr="0077723D">
        <w:rPr>
          <w:rFonts w:asciiTheme="majorHAnsi" w:hAnsiTheme="majorHAnsi" w:cstheme="majorHAnsi"/>
        </w:rPr>
        <w:t xml:space="preserve"> Der Sitzungsort des Gerichts </w:t>
      </w:r>
      <w:r w:rsidR="00E44B8E">
        <w:rPr>
          <w:rFonts w:asciiTheme="majorHAnsi" w:hAnsiTheme="majorHAnsi" w:cstheme="majorHAnsi"/>
        </w:rPr>
        <w:t>muss</w:t>
      </w:r>
      <w:r w:rsidRPr="0077723D">
        <w:rPr>
          <w:rFonts w:asciiTheme="majorHAnsi" w:hAnsiTheme="majorHAnsi" w:cstheme="majorHAnsi"/>
        </w:rPr>
        <w:t xml:space="preserve"> </w:t>
      </w:r>
      <w:r>
        <w:rPr>
          <w:rFonts w:asciiTheme="majorHAnsi" w:hAnsiTheme="majorHAnsi" w:cstheme="majorHAnsi"/>
        </w:rPr>
        <w:t>dabei</w:t>
      </w:r>
      <w:r w:rsidR="00E44B8E">
        <w:rPr>
          <w:rFonts w:asciiTheme="majorHAnsi" w:hAnsiTheme="majorHAnsi" w:cstheme="majorHAnsi"/>
        </w:rPr>
        <w:t xml:space="preserve"> jedoch</w:t>
      </w:r>
      <w:r>
        <w:rPr>
          <w:rFonts w:asciiTheme="majorHAnsi" w:hAnsiTheme="majorHAnsi" w:cstheme="majorHAnsi"/>
        </w:rPr>
        <w:t xml:space="preserve"> </w:t>
      </w:r>
      <w:r w:rsidRPr="0077723D">
        <w:rPr>
          <w:rFonts w:asciiTheme="majorHAnsi" w:hAnsiTheme="majorHAnsi" w:cstheme="majorHAnsi"/>
        </w:rPr>
        <w:t xml:space="preserve">unverändert </w:t>
      </w:r>
      <w:r w:rsidR="00E44B8E">
        <w:rPr>
          <w:rFonts w:asciiTheme="majorHAnsi" w:hAnsiTheme="majorHAnsi" w:cstheme="majorHAnsi"/>
        </w:rPr>
        <w:t>bleiben, sodass es der</w:t>
      </w:r>
      <w:r w:rsidRPr="0077723D">
        <w:rPr>
          <w:rFonts w:asciiTheme="majorHAnsi" w:hAnsiTheme="majorHAnsi" w:cstheme="majorHAnsi"/>
        </w:rPr>
        <w:t xml:space="preserve"> Anwesenheit des Gerichts im Sitzungssaal oder am Ort des Augenscheins</w:t>
      </w:r>
      <w:r w:rsidR="00E44B8E">
        <w:rPr>
          <w:rFonts w:asciiTheme="majorHAnsi" w:hAnsiTheme="majorHAnsi" w:cstheme="majorHAnsi"/>
        </w:rPr>
        <w:t xml:space="preserve"> bedarf</w:t>
      </w:r>
      <w:r w:rsidRPr="0077723D">
        <w:rPr>
          <w:rFonts w:asciiTheme="majorHAnsi" w:hAnsiTheme="majorHAnsi" w:cstheme="majorHAnsi"/>
        </w:rPr>
        <w:t>.</w:t>
      </w:r>
      <w:r w:rsidR="00B074A7">
        <w:rPr>
          <w:rStyle w:val="Funotenzeichen"/>
          <w:rFonts w:asciiTheme="majorHAnsi" w:hAnsiTheme="majorHAnsi" w:cstheme="majorHAnsi"/>
        </w:rPr>
        <w:footnoteReference w:id="8"/>
      </w:r>
      <w:r>
        <w:rPr>
          <w:rFonts w:asciiTheme="majorHAnsi" w:hAnsiTheme="majorHAnsi" w:cstheme="majorHAnsi"/>
        </w:rPr>
        <w:t xml:space="preserve"> </w:t>
      </w:r>
      <w:r w:rsidR="00E44B8E">
        <w:rPr>
          <w:rFonts w:asciiTheme="majorHAnsi" w:hAnsiTheme="majorHAnsi" w:cstheme="majorHAnsi"/>
        </w:rPr>
        <w:t>Von dem Verständnis der Norm ist daher ke</w:t>
      </w:r>
      <w:r>
        <w:rPr>
          <w:rFonts w:asciiTheme="majorHAnsi" w:hAnsiTheme="majorHAnsi" w:cstheme="majorHAnsi"/>
        </w:rPr>
        <w:t>ine Übertragung aus dem Homeoffice der Richterin oder des Richters erfasst.</w:t>
      </w:r>
      <w:r w:rsidR="00B074A7">
        <w:rPr>
          <w:rStyle w:val="Funotenzeichen"/>
          <w:rFonts w:asciiTheme="majorHAnsi" w:hAnsiTheme="majorHAnsi" w:cstheme="majorHAnsi"/>
        </w:rPr>
        <w:footnoteReference w:id="9"/>
      </w:r>
      <w:r w:rsidRPr="0077723D">
        <w:rPr>
          <w:rFonts w:asciiTheme="majorHAnsi" w:hAnsiTheme="majorHAnsi" w:cstheme="majorHAnsi"/>
        </w:rPr>
        <w:t xml:space="preserve"> </w:t>
      </w:r>
      <w:r w:rsidR="00E44B8E">
        <w:rPr>
          <w:rFonts w:asciiTheme="majorHAnsi" w:hAnsiTheme="majorHAnsi" w:cstheme="majorHAnsi"/>
        </w:rPr>
        <w:t>D</w:t>
      </w:r>
      <w:r w:rsidR="00B074A7" w:rsidRPr="00B074A7">
        <w:rPr>
          <w:rFonts w:asciiTheme="majorHAnsi" w:hAnsiTheme="majorHAnsi" w:cstheme="majorHAnsi"/>
        </w:rPr>
        <w:t>ie Zuschaltung von zwei verschiedenen Orten</w:t>
      </w:r>
      <w:r w:rsidR="00E44B8E">
        <w:rPr>
          <w:rFonts w:asciiTheme="majorHAnsi" w:hAnsiTheme="majorHAnsi" w:cstheme="majorHAnsi"/>
        </w:rPr>
        <w:t xml:space="preserve"> aus dagegen ist möglich</w:t>
      </w:r>
      <w:r w:rsidR="00B074A7">
        <w:rPr>
          <w:rFonts w:asciiTheme="majorHAnsi" w:hAnsiTheme="majorHAnsi" w:cstheme="majorHAnsi"/>
        </w:rPr>
        <w:t>,</w:t>
      </w:r>
      <w:r w:rsidR="00B074A7" w:rsidRPr="00B074A7">
        <w:rPr>
          <w:rFonts w:asciiTheme="majorHAnsi" w:hAnsiTheme="majorHAnsi" w:cstheme="majorHAnsi"/>
        </w:rPr>
        <w:t xml:space="preserve"> </w:t>
      </w:r>
      <w:r w:rsidR="00B074A7">
        <w:rPr>
          <w:rFonts w:asciiTheme="majorHAnsi" w:hAnsiTheme="majorHAnsi" w:cstheme="majorHAnsi"/>
        </w:rPr>
        <w:t>d</w:t>
      </w:r>
      <w:r w:rsidR="00B074A7" w:rsidRPr="00B074A7">
        <w:rPr>
          <w:rFonts w:asciiTheme="majorHAnsi" w:hAnsiTheme="majorHAnsi" w:cstheme="majorHAnsi"/>
        </w:rPr>
        <w:t xml:space="preserve">enn die Vorschrift schränkt die Gestattung nicht dahin ein, als </w:t>
      </w:r>
      <w:r w:rsidR="0024219A">
        <w:rPr>
          <w:rFonts w:asciiTheme="majorHAnsi" w:hAnsiTheme="majorHAnsi" w:cstheme="majorHAnsi"/>
        </w:rPr>
        <w:t xml:space="preserve">dass </w:t>
      </w:r>
      <w:r w:rsidR="00B074A7" w:rsidRPr="00B074A7">
        <w:rPr>
          <w:rFonts w:asciiTheme="majorHAnsi" w:hAnsiTheme="majorHAnsi" w:cstheme="majorHAnsi"/>
        </w:rPr>
        <w:t xml:space="preserve">nur eine Partei an der mündlichen Verhandlung per Videokonferenz </w:t>
      </w:r>
      <w:r w:rsidR="00E44B8E">
        <w:rPr>
          <w:rFonts w:asciiTheme="majorHAnsi" w:hAnsiTheme="majorHAnsi" w:cstheme="majorHAnsi"/>
        </w:rPr>
        <w:t>teilnehmen</w:t>
      </w:r>
      <w:r w:rsidR="00B074A7" w:rsidRPr="00B074A7">
        <w:rPr>
          <w:rFonts w:asciiTheme="majorHAnsi" w:hAnsiTheme="majorHAnsi" w:cstheme="majorHAnsi"/>
        </w:rPr>
        <w:t xml:space="preserve"> darf</w:t>
      </w:r>
      <w:r w:rsidR="00D25F11">
        <w:rPr>
          <w:rFonts w:asciiTheme="majorHAnsi" w:hAnsiTheme="majorHAnsi" w:cstheme="majorHAnsi"/>
        </w:rPr>
        <w:t xml:space="preserve">, </w:t>
      </w:r>
      <w:r w:rsidR="00D25F11" w:rsidRPr="00D25F11">
        <w:rPr>
          <w:rFonts w:asciiTheme="majorHAnsi" w:hAnsiTheme="majorHAnsi" w:cstheme="majorHAnsi"/>
        </w:rPr>
        <w:t xml:space="preserve">sofern die allseitige zeitgleiche Wahrnehmung in Bild und Ton technisch gewährleistet </w:t>
      </w:r>
      <w:r w:rsidR="00D25F11">
        <w:rPr>
          <w:rFonts w:asciiTheme="majorHAnsi" w:hAnsiTheme="majorHAnsi" w:cstheme="majorHAnsi"/>
        </w:rPr>
        <w:t>ist</w:t>
      </w:r>
      <w:r w:rsidR="00B074A7" w:rsidRPr="00B074A7">
        <w:rPr>
          <w:rFonts w:asciiTheme="majorHAnsi" w:hAnsiTheme="majorHAnsi" w:cstheme="majorHAnsi"/>
        </w:rPr>
        <w:t>.</w:t>
      </w:r>
      <w:r w:rsidR="00B074A7">
        <w:rPr>
          <w:rStyle w:val="Funotenzeichen"/>
          <w:rFonts w:asciiTheme="majorHAnsi" w:hAnsiTheme="majorHAnsi" w:cstheme="majorHAnsi"/>
        </w:rPr>
        <w:footnoteReference w:id="10"/>
      </w:r>
      <w:r w:rsidR="00B074A7">
        <w:rPr>
          <w:rFonts w:asciiTheme="majorHAnsi" w:hAnsiTheme="majorHAnsi" w:cstheme="majorHAnsi"/>
        </w:rPr>
        <w:t xml:space="preserve"> Dennoch ist nur</w:t>
      </w:r>
      <w:r w:rsidRPr="0077723D">
        <w:rPr>
          <w:rFonts w:asciiTheme="majorHAnsi" w:hAnsiTheme="majorHAnsi" w:cstheme="majorHAnsi"/>
        </w:rPr>
        <w:t xml:space="preserve"> an dem Gerichtsort, nicht </w:t>
      </w:r>
      <w:r w:rsidR="00E44B8E">
        <w:rPr>
          <w:rFonts w:asciiTheme="majorHAnsi" w:hAnsiTheme="majorHAnsi" w:cstheme="majorHAnsi"/>
        </w:rPr>
        <w:t>jedoch</w:t>
      </w:r>
      <w:r w:rsidRPr="0077723D">
        <w:rPr>
          <w:rFonts w:asciiTheme="majorHAnsi" w:hAnsiTheme="majorHAnsi" w:cstheme="majorHAnsi"/>
        </w:rPr>
        <w:t xml:space="preserve"> am Aufenthaltsort der per Videokonferenz zugeschalteten Beteiligten</w:t>
      </w:r>
      <w:r w:rsidR="00E44B8E">
        <w:rPr>
          <w:rFonts w:asciiTheme="majorHAnsi" w:hAnsiTheme="majorHAnsi" w:cstheme="majorHAnsi"/>
        </w:rPr>
        <w:t>,</w:t>
      </w:r>
      <w:r w:rsidRPr="0077723D">
        <w:rPr>
          <w:rFonts w:asciiTheme="majorHAnsi" w:hAnsiTheme="majorHAnsi" w:cstheme="majorHAnsi"/>
        </w:rPr>
        <w:t xml:space="preserve"> die Öffentlichkeit </w:t>
      </w:r>
      <w:r>
        <w:rPr>
          <w:rFonts w:asciiTheme="majorHAnsi" w:hAnsiTheme="majorHAnsi" w:cstheme="majorHAnsi"/>
        </w:rPr>
        <w:t xml:space="preserve">nach </w:t>
      </w:r>
      <w:r w:rsidRPr="0077723D">
        <w:rPr>
          <w:rFonts w:asciiTheme="majorHAnsi" w:hAnsiTheme="majorHAnsi" w:cstheme="majorHAnsi"/>
        </w:rPr>
        <w:t>§ 169 GVG herzustellen.</w:t>
      </w:r>
      <w:r w:rsidR="00B074A7">
        <w:rPr>
          <w:rStyle w:val="Funotenzeichen"/>
          <w:rFonts w:asciiTheme="majorHAnsi" w:hAnsiTheme="majorHAnsi" w:cstheme="majorHAnsi"/>
        </w:rPr>
        <w:footnoteReference w:id="11"/>
      </w:r>
      <w:r w:rsidRPr="0077723D">
        <w:rPr>
          <w:rFonts w:asciiTheme="majorHAnsi" w:hAnsiTheme="majorHAnsi" w:cstheme="majorHAnsi"/>
        </w:rPr>
        <w:t xml:space="preserve"> </w:t>
      </w:r>
      <w:r w:rsidR="00E44B8E">
        <w:rPr>
          <w:rFonts w:asciiTheme="majorHAnsi" w:hAnsiTheme="majorHAnsi" w:cstheme="majorHAnsi"/>
        </w:rPr>
        <w:t>So kann die</w:t>
      </w:r>
      <w:r w:rsidRPr="0077723D">
        <w:rPr>
          <w:rFonts w:asciiTheme="majorHAnsi" w:hAnsiTheme="majorHAnsi" w:cstheme="majorHAnsi"/>
        </w:rPr>
        <w:t xml:space="preserve"> Kontrolle justizieller Verfahren durch die Öffentlichkeit erhalten</w:t>
      </w:r>
      <w:r w:rsidR="00E44B8E">
        <w:rPr>
          <w:rFonts w:asciiTheme="majorHAnsi" w:hAnsiTheme="majorHAnsi" w:cstheme="majorHAnsi"/>
        </w:rPr>
        <w:t xml:space="preserve"> bleiben</w:t>
      </w:r>
      <w:r w:rsidRPr="0077723D">
        <w:rPr>
          <w:rFonts w:asciiTheme="majorHAnsi" w:hAnsiTheme="majorHAnsi" w:cstheme="majorHAnsi"/>
        </w:rPr>
        <w:t>.</w:t>
      </w:r>
      <w:r w:rsidR="00E44B8E">
        <w:rPr>
          <w:rStyle w:val="Funotenzeichen"/>
          <w:rFonts w:asciiTheme="majorHAnsi" w:hAnsiTheme="majorHAnsi" w:cstheme="majorHAnsi"/>
        </w:rPr>
        <w:footnoteReference w:id="12"/>
      </w:r>
      <w:r w:rsidRPr="0077723D">
        <w:rPr>
          <w:rFonts w:asciiTheme="majorHAnsi" w:hAnsiTheme="majorHAnsi" w:cstheme="majorHAnsi"/>
        </w:rPr>
        <w:t xml:space="preserve"> Dazu ist </w:t>
      </w:r>
      <w:r w:rsidR="0024219A">
        <w:rPr>
          <w:rFonts w:asciiTheme="majorHAnsi" w:hAnsiTheme="majorHAnsi" w:cstheme="majorHAnsi"/>
        </w:rPr>
        <w:t xml:space="preserve">lediglich </w:t>
      </w:r>
      <w:r w:rsidRPr="0077723D">
        <w:rPr>
          <w:rFonts w:asciiTheme="majorHAnsi" w:hAnsiTheme="majorHAnsi" w:cstheme="majorHAnsi"/>
        </w:rPr>
        <w:t xml:space="preserve">erforderlich, dass </w:t>
      </w:r>
      <w:r w:rsidR="00E05081" w:rsidRPr="0077723D">
        <w:rPr>
          <w:rFonts w:asciiTheme="majorHAnsi" w:hAnsiTheme="majorHAnsi" w:cstheme="majorHAnsi"/>
        </w:rPr>
        <w:t xml:space="preserve">die interessierte Öffentlichkeit </w:t>
      </w:r>
      <w:r w:rsidR="00F25A94">
        <w:rPr>
          <w:rFonts w:asciiTheme="majorHAnsi" w:hAnsiTheme="majorHAnsi" w:cstheme="majorHAnsi"/>
        </w:rPr>
        <w:t>der</w:t>
      </w:r>
      <w:r w:rsidR="00F25A94" w:rsidRPr="0077723D">
        <w:rPr>
          <w:rFonts w:asciiTheme="majorHAnsi" w:hAnsiTheme="majorHAnsi" w:cstheme="majorHAnsi"/>
        </w:rPr>
        <w:t xml:space="preserve"> zeitgleiche Tonübertragung </w:t>
      </w:r>
      <w:r w:rsidRPr="0077723D">
        <w:rPr>
          <w:rFonts w:asciiTheme="majorHAnsi" w:hAnsiTheme="majorHAnsi" w:cstheme="majorHAnsi"/>
        </w:rPr>
        <w:t>folgen kann.</w:t>
      </w:r>
      <w:r w:rsidR="00B074A7">
        <w:rPr>
          <w:rStyle w:val="Funotenzeichen"/>
          <w:rFonts w:asciiTheme="majorHAnsi" w:hAnsiTheme="majorHAnsi" w:cstheme="majorHAnsi"/>
        </w:rPr>
        <w:footnoteReference w:id="13"/>
      </w:r>
    </w:p>
    <w:p w14:paraId="7980CA0E" w14:textId="56C81D50" w:rsidR="0077723D" w:rsidRDefault="0077723D" w:rsidP="00B074A7">
      <w:pPr>
        <w:spacing w:before="100" w:after="100" w:line="252" w:lineRule="auto"/>
        <w:jc w:val="both"/>
        <w:rPr>
          <w:rFonts w:asciiTheme="majorHAnsi" w:hAnsiTheme="majorHAnsi" w:cstheme="majorHAnsi"/>
        </w:rPr>
      </w:pPr>
      <w:r w:rsidRPr="0077723D">
        <w:rPr>
          <w:rFonts w:asciiTheme="majorHAnsi" w:hAnsiTheme="majorHAnsi" w:cstheme="majorHAnsi"/>
        </w:rPr>
        <w:lastRenderedPageBreak/>
        <w:t xml:space="preserve">Die Verfahrenshandlungen müssen </w:t>
      </w:r>
      <w:r w:rsidR="00D25F11">
        <w:rPr>
          <w:rFonts w:asciiTheme="majorHAnsi" w:hAnsiTheme="majorHAnsi" w:cstheme="majorHAnsi"/>
        </w:rPr>
        <w:t xml:space="preserve">dabei </w:t>
      </w:r>
      <w:r w:rsidR="00E05081" w:rsidRPr="0077723D">
        <w:rPr>
          <w:rFonts w:asciiTheme="majorHAnsi" w:hAnsiTheme="majorHAnsi" w:cstheme="majorHAnsi"/>
        </w:rPr>
        <w:t>synchron</w:t>
      </w:r>
      <w:r w:rsidRPr="0077723D">
        <w:rPr>
          <w:rFonts w:asciiTheme="majorHAnsi" w:hAnsiTheme="majorHAnsi" w:cstheme="majorHAnsi"/>
        </w:rPr>
        <w:t xml:space="preserve"> in Bild und Ton in den Sitzungssaal und von diesem an den Aufenthaltsort der Beteiligten übertragen werden, damit eine Verständigung wie in einer mündlichen Verhandlung unter Anwesenden möglich ist.</w:t>
      </w:r>
      <w:r w:rsidR="00B074A7">
        <w:rPr>
          <w:rStyle w:val="Funotenzeichen"/>
          <w:rFonts w:asciiTheme="majorHAnsi" w:hAnsiTheme="majorHAnsi" w:cstheme="majorHAnsi"/>
        </w:rPr>
        <w:footnoteReference w:id="14"/>
      </w:r>
      <w:r w:rsidR="00B074A7">
        <w:rPr>
          <w:rFonts w:asciiTheme="majorHAnsi" w:hAnsiTheme="majorHAnsi" w:cstheme="majorHAnsi"/>
        </w:rPr>
        <w:t xml:space="preserve"> </w:t>
      </w:r>
      <w:r w:rsidR="00B074A7" w:rsidRPr="00B074A7">
        <w:rPr>
          <w:rFonts w:asciiTheme="majorHAnsi" w:hAnsiTheme="majorHAnsi" w:cstheme="majorHAnsi"/>
        </w:rPr>
        <w:t>Die Beteiligten</w:t>
      </w:r>
      <w:r w:rsidR="0024219A">
        <w:rPr>
          <w:rFonts w:asciiTheme="majorHAnsi" w:hAnsiTheme="majorHAnsi" w:cstheme="majorHAnsi"/>
        </w:rPr>
        <w:t>, die zugeschaltet sind,</w:t>
      </w:r>
      <w:r w:rsidR="00B074A7" w:rsidRPr="00B074A7">
        <w:rPr>
          <w:rFonts w:asciiTheme="majorHAnsi" w:hAnsiTheme="majorHAnsi" w:cstheme="majorHAnsi"/>
        </w:rPr>
        <w:t xml:space="preserve"> müssen das Geschehen im Gerichtssaal verfolgen können.</w:t>
      </w:r>
      <w:r w:rsidR="00B074A7">
        <w:rPr>
          <w:rStyle w:val="Funotenzeichen"/>
          <w:rFonts w:asciiTheme="majorHAnsi" w:hAnsiTheme="majorHAnsi" w:cstheme="majorHAnsi"/>
        </w:rPr>
        <w:footnoteReference w:id="15"/>
      </w:r>
      <w:r w:rsidR="00B074A7" w:rsidRPr="00B074A7">
        <w:rPr>
          <w:rFonts w:asciiTheme="majorHAnsi" w:hAnsiTheme="majorHAnsi" w:cstheme="majorHAnsi"/>
        </w:rPr>
        <w:t xml:space="preserve"> Dazu </w:t>
      </w:r>
      <w:r w:rsidR="00E05081">
        <w:rPr>
          <w:rFonts w:asciiTheme="majorHAnsi" w:hAnsiTheme="majorHAnsi" w:cstheme="majorHAnsi"/>
        </w:rPr>
        <w:t>ist</w:t>
      </w:r>
      <w:r w:rsidR="00B074A7" w:rsidRPr="00B074A7">
        <w:rPr>
          <w:rFonts w:asciiTheme="majorHAnsi" w:hAnsiTheme="majorHAnsi" w:cstheme="majorHAnsi"/>
        </w:rPr>
        <w:t xml:space="preserve"> eine Übertragung des Bildes von der Richterbank, der Gegenseite und sonstiger Prozessbeteiligter</w:t>
      </w:r>
      <w:r w:rsidR="00E05081">
        <w:rPr>
          <w:rFonts w:asciiTheme="majorHAnsi" w:hAnsiTheme="majorHAnsi" w:cstheme="majorHAnsi"/>
        </w:rPr>
        <w:t xml:space="preserve"> nötig</w:t>
      </w:r>
      <w:r w:rsidR="00B074A7">
        <w:rPr>
          <w:rFonts w:asciiTheme="majorHAnsi" w:hAnsiTheme="majorHAnsi" w:cstheme="majorHAnsi"/>
        </w:rPr>
        <w:t>.</w:t>
      </w:r>
      <w:r w:rsidR="00D25F11">
        <w:rPr>
          <w:rStyle w:val="Funotenzeichen"/>
          <w:rFonts w:asciiTheme="majorHAnsi" w:hAnsiTheme="majorHAnsi" w:cstheme="majorHAnsi"/>
        </w:rPr>
        <w:footnoteReference w:id="16"/>
      </w:r>
      <w:r w:rsidR="00B074A7">
        <w:rPr>
          <w:rFonts w:asciiTheme="majorHAnsi" w:hAnsiTheme="majorHAnsi" w:cstheme="majorHAnsi"/>
        </w:rPr>
        <w:t xml:space="preserve"> J</w:t>
      </w:r>
      <w:r w:rsidR="00B074A7" w:rsidRPr="00B074A7">
        <w:rPr>
          <w:rFonts w:asciiTheme="majorHAnsi" w:hAnsiTheme="majorHAnsi" w:cstheme="majorHAnsi"/>
        </w:rPr>
        <w:t xml:space="preserve">eder Beteiligte </w:t>
      </w:r>
      <w:r w:rsidR="00E05081">
        <w:rPr>
          <w:rFonts w:asciiTheme="majorHAnsi" w:hAnsiTheme="majorHAnsi" w:cstheme="majorHAnsi"/>
        </w:rPr>
        <w:t>muss</w:t>
      </w:r>
      <w:r w:rsidR="00B074A7" w:rsidRPr="00B074A7">
        <w:rPr>
          <w:rFonts w:asciiTheme="majorHAnsi" w:hAnsiTheme="majorHAnsi" w:cstheme="majorHAnsi"/>
        </w:rPr>
        <w:t xml:space="preserve"> </w:t>
      </w:r>
      <w:r w:rsidR="00E05081">
        <w:rPr>
          <w:rFonts w:asciiTheme="majorHAnsi" w:hAnsiTheme="majorHAnsi" w:cstheme="majorHAnsi"/>
        </w:rPr>
        <w:t>gleichzeitig</w:t>
      </w:r>
      <w:r w:rsidR="00B074A7" w:rsidRPr="00B074A7">
        <w:rPr>
          <w:rFonts w:asciiTheme="majorHAnsi" w:hAnsiTheme="majorHAnsi" w:cstheme="majorHAnsi"/>
        </w:rPr>
        <w:t xml:space="preserve"> die anderen Beteiligten visuell und akustisch wahrnehmen können</w:t>
      </w:r>
      <w:r w:rsidR="00D25F11">
        <w:rPr>
          <w:rFonts w:asciiTheme="majorHAnsi" w:hAnsiTheme="majorHAnsi" w:cstheme="majorHAnsi"/>
        </w:rPr>
        <w:t>, d</w:t>
      </w:r>
      <w:r w:rsidR="00B074A7" w:rsidRPr="00B074A7">
        <w:rPr>
          <w:rFonts w:asciiTheme="majorHAnsi" w:hAnsiTheme="majorHAnsi" w:cstheme="majorHAnsi"/>
        </w:rPr>
        <w:t xml:space="preserve">enn nur </w:t>
      </w:r>
      <w:r w:rsidR="00E05081">
        <w:rPr>
          <w:rFonts w:asciiTheme="majorHAnsi" w:hAnsiTheme="majorHAnsi" w:cstheme="majorHAnsi"/>
        </w:rPr>
        <w:t>so</w:t>
      </w:r>
      <w:r w:rsidR="00B074A7" w:rsidRPr="00B074A7">
        <w:rPr>
          <w:rFonts w:asciiTheme="majorHAnsi" w:hAnsiTheme="majorHAnsi" w:cstheme="majorHAnsi"/>
        </w:rPr>
        <w:t xml:space="preserve"> kommt die Videokonferenz der Situation einer herkömmlichen mündlichen Verhandlung hinreichend nahe</w:t>
      </w:r>
      <w:r w:rsidR="00B074A7">
        <w:rPr>
          <w:rFonts w:asciiTheme="majorHAnsi" w:hAnsiTheme="majorHAnsi" w:cstheme="majorHAnsi"/>
        </w:rPr>
        <w:t>.</w:t>
      </w:r>
      <w:r w:rsidR="00B074A7">
        <w:rPr>
          <w:rStyle w:val="Funotenzeichen"/>
          <w:rFonts w:asciiTheme="majorHAnsi" w:hAnsiTheme="majorHAnsi" w:cstheme="majorHAnsi"/>
        </w:rPr>
        <w:footnoteReference w:id="17"/>
      </w:r>
    </w:p>
    <w:p w14:paraId="7037DBDB" w14:textId="4D489337" w:rsidR="00B074A7" w:rsidRDefault="00B074A7" w:rsidP="00B074A7">
      <w:pPr>
        <w:spacing w:before="100" w:after="100" w:line="252" w:lineRule="auto"/>
        <w:jc w:val="both"/>
        <w:rPr>
          <w:rFonts w:asciiTheme="majorHAnsi" w:hAnsiTheme="majorHAnsi" w:cstheme="majorHAnsi"/>
        </w:rPr>
      </w:pPr>
      <w:r w:rsidRPr="00B074A7">
        <w:rPr>
          <w:rFonts w:asciiTheme="majorHAnsi" w:hAnsiTheme="majorHAnsi" w:cstheme="majorHAnsi"/>
        </w:rPr>
        <w:t>Ist die zeitgleiche Bild- und Tonübertragung nicht möglich oder aus technischen Gründen gestört, muss die mündliche Verhandlung unterbr</w:t>
      </w:r>
      <w:r w:rsidR="00D25F11">
        <w:rPr>
          <w:rFonts w:asciiTheme="majorHAnsi" w:hAnsiTheme="majorHAnsi" w:cstheme="majorHAnsi"/>
        </w:rPr>
        <w:t>o</w:t>
      </w:r>
      <w:r w:rsidRPr="00B074A7">
        <w:rPr>
          <w:rFonts w:asciiTheme="majorHAnsi" w:hAnsiTheme="majorHAnsi" w:cstheme="majorHAnsi"/>
        </w:rPr>
        <w:t>chen</w:t>
      </w:r>
      <w:r w:rsidR="00D25F11">
        <w:rPr>
          <w:rFonts w:asciiTheme="majorHAnsi" w:hAnsiTheme="majorHAnsi" w:cstheme="majorHAnsi"/>
        </w:rPr>
        <w:t xml:space="preserve"> werden</w:t>
      </w:r>
      <w:r w:rsidRPr="00B074A7">
        <w:rPr>
          <w:rFonts w:asciiTheme="majorHAnsi" w:hAnsiTheme="majorHAnsi" w:cstheme="majorHAnsi"/>
        </w:rPr>
        <w:t xml:space="preserve">, um einen Verstoß gegen den Grundsatz der Mündlichkeit zu vermeiden und </w:t>
      </w:r>
      <w:r w:rsidR="00D25F11">
        <w:rPr>
          <w:rFonts w:asciiTheme="majorHAnsi" w:hAnsiTheme="majorHAnsi" w:cstheme="majorHAnsi"/>
        </w:rPr>
        <w:t xml:space="preserve">Gewährung rechtlichen Gehörs </w:t>
      </w:r>
      <w:r w:rsidRPr="00B074A7">
        <w:rPr>
          <w:rFonts w:asciiTheme="majorHAnsi" w:hAnsiTheme="majorHAnsi" w:cstheme="majorHAnsi"/>
        </w:rPr>
        <w:t>sicherzustellen.</w:t>
      </w:r>
      <w:r>
        <w:rPr>
          <w:rStyle w:val="Funotenzeichen"/>
          <w:rFonts w:asciiTheme="majorHAnsi" w:hAnsiTheme="majorHAnsi" w:cstheme="majorHAnsi"/>
        </w:rPr>
        <w:footnoteReference w:id="18"/>
      </w:r>
      <w:r w:rsidRPr="00B074A7">
        <w:rPr>
          <w:rFonts w:asciiTheme="majorHAnsi" w:hAnsiTheme="majorHAnsi" w:cstheme="majorHAnsi"/>
        </w:rPr>
        <w:t xml:space="preserve"> Erscheint die Partei trotz ordnungsgemäßer Ladung weder zu dem Termin am Ort der Videoübertragung noch am Gerichtsort, können die Folgen der Säumnis eintreten</w:t>
      </w:r>
      <w:r w:rsidR="00D25F11">
        <w:rPr>
          <w:rFonts w:asciiTheme="majorHAnsi" w:hAnsiTheme="majorHAnsi" w:cstheme="majorHAnsi"/>
        </w:rPr>
        <w:t>.</w:t>
      </w:r>
      <w:r w:rsidR="00D25F11">
        <w:rPr>
          <w:rStyle w:val="Funotenzeichen"/>
          <w:rFonts w:asciiTheme="majorHAnsi" w:hAnsiTheme="majorHAnsi" w:cstheme="majorHAnsi"/>
        </w:rPr>
        <w:footnoteReference w:id="19"/>
      </w:r>
    </w:p>
    <w:p w14:paraId="332A068E" w14:textId="544F2962" w:rsidR="00134EB0" w:rsidRDefault="00134EB0" w:rsidP="00C276D7">
      <w:pPr>
        <w:spacing w:before="100" w:after="100" w:line="252" w:lineRule="auto"/>
        <w:jc w:val="both"/>
        <w:rPr>
          <w:rFonts w:asciiTheme="majorHAnsi" w:hAnsiTheme="majorHAnsi" w:cstheme="majorHAnsi"/>
        </w:rPr>
      </w:pPr>
      <w:r>
        <w:rPr>
          <w:rFonts w:asciiTheme="majorHAnsi" w:hAnsiTheme="majorHAnsi" w:cstheme="majorHAnsi"/>
        </w:rPr>
        <w:t>Dabei kann das Gericht lediglich die Verhandlung per Videokonferenz gestatten</w:t>
      </w:r>
      <w:r w:rsidR="00D25F11">
        <w:rPr>
          <w:rFonts w:asciiTheme="majorHAnsi" w:hAnsiTheme="majorHAnsi" w:cstheme="majorHAnsi"/>
        </w:rPr>
        <w:t xml:space="preserve"> oder auch gegen den Willen der Parteien anordnen, </w:t>
      </w:r>
      <w:r>
        <w:rPr>
          <w:rFonts w:asciiTheme="majorHAnsi" w:hAnsiTheme="majorHAnsi" w:cstheme="majorHAnsi"/>
        </w:rPr>
        <w:t>nicht jedoch die Parteien verpflichten</w:t>
      </w:r>
      <w:r w:rsidR="00F25A94">
        <w:rPr>
          <w:rFonts w:asciiTheme="majorHAnsi" w:hAnsiTheme="majorHAnsi" w:cstheme="majorHAnsi"/>
        </w:rPr>
        <w:t>,</w:t>
      </w:r>
      <w:r>
        <w:rPr>
          <w:rFonts w:asciiTheme="majorHAnsi" w:hAnsiTheme="majorHAnsi" w:cstheme="majorHAnsi"/>
        </w:rPr>
        <w:t xml:space="preserve"> die mündliche Verhandlung im Wege der Videokonferenz abzuhalten.</w:t>
      </w:r>
      <w:r w:rsidR="0077723D">
        <w:rPr>
          <w:rStyle w:val="Funotenzeichen"/>
          <w:rFonts w:asciiTheme="majorHAnsi" w:hAnsiTheme="majorHAnsi" w:cstheme="majorHAnsi"/>
        </w:rPr>
        <w:footnoteReference w:id="20"/>
      </w:r>
      <w:r>
        <w:rPr>
          <w:rFonts w:asciiTheme="majorHAnsi" w:hAnsiTheme="majorHAnsi" w:cstheme="majorHAnsi"/>
        </w:rPr>
        <w:t xml:space="preserve"> Es </w:t>
      </w:r>
      <w:r w:rsidR="00E05081">
        <w:rPr>
          <w:rFonts w:asciiTheme="majorHAnsi" w:hAnsiTheme="majorHAnsi" w:cstheme="majorHAnsi"/>
        </w:rPr>
        <w:t>muss</w:t>
      </w:r>
      <w:r>
        <w:rPr>
          <w:rFonts w:asciiTheme="majorHAnsi" w:hAnsiTheme="majorHAnsi" w:cstheme="majorHAnsi"/>
        </w:rPr>
        <w:t xml:space="preserve"> daher auch trotz der Gestattung die Möglichkeit</w:t>
      </w:r>
      <w:r w:rsidR="00E05081">
        <w:rPr>
          <w:rFonts w:asciiTheme="majorHAnsi" w:hAnsiTheme="majorHAnsi" w:cstheme="majorHAnsi"/>
        </w:rPr>
        <w:t xml:space="preserve"> bestehen</w:t>
      </w:r>
      <w:r>
        <w:rPr>
          <w:rFonts w:asciiTheme="majorHAnsi" w:hAnsiTheme="majorHAnsi" w:cstheme="majorHAnsi"/>
        </w:rPr>
        <w:t>, im Gerichtssaal zu erscheinen.</w:t>
      </w:r>
      <w:r w:rsidR="00B074A7">
        <w:rPr>
          <w:rStyle w:val="Funotenzeichen"/>
          <w:rFonts w:asciiTheme="majorHAnsi" w:hAnsiTheme="majorHAnsi" w:cstheme="majorHAnsi"/>
        </w:rPr>
        <w:footnoteReference w:id="21"/>
      </w:r>
      <w:r>
        <w:rPr>
          <w:rFonts w:asciiTheme="majorHAnsi" w:hAnsiTheme="majorHAnsi" w:cstheme="majorHAnsi"/>
        </w:rPr>
        <w:t xml:space="preserve"> Das kann dann zu organisatorischen Problemen führen. </w:t>
      </w:r>
      <w:r w:rsidR="00F25A94">
        <w:rPr>
          <w:rFonts w:asciiTheme="majorHAnsi" w:hAnsiTheme="majorHAnsi" w:cstheme="majorHAnsi"/>
        </w:rPr>
        <w:t>Gründe</w:t>
      </w:r>
      <w:r>
        <w:rPr>
          <w:rFonts w:asciiTheme="majorHAnsi" w:hAnsiTheme="majorHAnsi" w:cstheme="majorHAnsi"/>
        </w:rPr>
        <w:t xml:space="preserve"> für das Erscheinen können </w:t>
      </w:r>
      <w:r w:rsidR="00E05081">
        <w:rPr>
          <w:rFonts w:asciiTheme="majorHAnsi" w:hAnsiTheme="majorHAnsi" w:cstheme="majorHAnsi"/>
        </w:rPr>
        <w:t xml:space="preserve">beispielsweise </w:t>
      </w:r>
      <w:r>
        <w:rPr>
          <w:rFonts w:asciiTheme="majorHAnsi" w:hAnsiTheme="majorHAnsi" w:cstheme="majorHAnsi"/>
        </w:rPr>
        <w:t xml:space="preserve">Bedenken hinsichtlich des Erlasses eines Versäumnisurteils sein, falls die Technik streikt oder eigene </w:t>
      </w:r>
      <w:r w:rsidR="0077723D">
        <w:rPr>
          <w:rFonts w:asciiTheme="majorHAnsi" w:hAnsiTheme="majorHAnsi" w:cstheme="majorHAnsi"/>
        </w:rPr>
        <w:t xml:space="preserve">technische </w:t>
      </w:r>
      <w:r>
        <w:rPr>
          <w:rFonts w:asciiTheme="majorHAnsi" w:hAnsiTheme="majorHAnsi" w:cstheme="majorHAnsi"/>
        </w:rPr>
        <w:t>Defizite. Es werden daher Stimmen laut, dass die Anordnung verpflichtend sein sollte.</w:t>
      </w:r>
      <w:r w:rsidR="00B074A7">
        <w:rPr>
          <w:rStyle w:val="Funotenzeichen"/>
          <w:rFonts w:asciiTheme="majorHAnsi" w:hAnsiTheme="majorHAnsi" w:cstheme="majorHAnsi"/>
        </w:rPr>
        <w:footnoteReference w:id="22"/>
      </w:r>
    </w:p>
    <w:p w14:paraId="0207D505" w14:textId="20A4CE07" w:rsidR="00134EB0" w:rsidRPr="00134EB0" w:rsidRDefault="00134EB0" w:rsidP="00C276D7">
      <w:pPr>
        <w:spacing w:before="100" w:after="100" w:line="252" w:lineRule="auto"/>
        <w:jc w:val="both"/>
        <w:rPr>
          <w:rFonts w:asciiTheme="majorHAnsi" w:hAnsiTheme="majorHAnsi" w:cstheme="majorHAnsi"/>
        </w:rPr>
      </w:pPr>
    </w:p>
    <w:p w14:paraId="7C2114FE" w14:textId="113B30EC" w:rsidR="00650E21" w:rsidRPr="00AF6C95" w:rsidRDefault="00650E21" w:rsidP="00D12FBD">
      <w:pPr>
        <w:spacing w:before="100" w:after="100" w:line="252" w:lineRule="auto"/>
        <w:jc w:val="both"/>
        <w:rPr>
          <w:rFonts w:asciiTheme="majorHAnsi" w:hAnsiTheme="majorHAnsi" w:cstheme="majorHAnsi"/>
          <w:u w:val="single"/>
        </w:rPr>
      </w:pPr>
      <w:r w:rsidRPr="00AF6C95">
        <w:rPr>
          <w:rFonts w:asciiTheme="majorHAnsi" w:hAnsiTheme="majorHAnsi" w:cstheme="majorHAnsi"/>
          <w:u w:val="single"/>
        </w:rPr>
        <w:t>Fazit</w:t>
      </w:r>
    </w:p>
    <w:p w14:paraId="2133AB90" w14:textId="4B54B4FC" w:rsidR="00D12FBD" w:rsidRPr="009E7B49" w:rsidRDefault="008342AC" w:rsidP="00C276D7">
      <w:pPr>
        <w:spacing w:before="100" w:after="100" w:line="252" w:lineRule="auto"/>
        <w:jc w:val="both"/>
        <w:rPr>
          <w:rFonts w:asciiTheme="majorHAnsi" w:hAnsiTheme="majorHAnsi" w:cstheme="majorHAnsi"/>
        </w:rPr>
      </w:pPr>
      <w:r>
        <w:rPr>
          <w:rFonts w:asciiTheme="majorHAnsi" w:hAnsiTheme="majorHAnsi" w:cstheme="majorHAnsi"/>
        </w:rPr>
        <w:t xml:space="preserve">In Zeiten der Pandemie wurde deutlich, wie wichtig es </w:t>
      </w:r>
      <w:r w:rsidR="00F25A94">
        <w:rPr>
          <w:rFonts w:asciiTheme="majorHAnsi" w:hAnsiTheme="majorHAnsi" w:cstheme="majorHAnsi"/>
        </w:rPr>
        <w:t>sein kann</w:t>
      </w:r>
      <w:r>
        <w:rPr>
          <w:rFonts w:asciiTheme="majorHAnsi" w:hAnsiTheme="majorHAnsi" w:cstheme="majorHAnsi"/>
        </w:rPr>
        <w:t>, ausreichend technische Mittel zur Verfügung zu stellen, um Präsenzverhandlungen unter Umständen zu vermeiden. Aber auch in Zukunft wird diese Möglichkeit der mündlichen Verhandlung im Wege der Videokonferenz an Bedeutung gewinnen, da viele Wege aufgrund weite</w:t>
      </w:r>
      <w:r w:rsidR="00E05081">
        <w:rPr>
          <w:rFonts w:asciiTheme="majorHAnsi" w:hAnsiTheme="majorHAnsi" w:cstheme="majorHAnsi"/>
        </w:rPr>
        <w:t>r</w:t>
      </w:r>
      <w:r>
        <w:rPr>
          <w:rFonts w:asciiTheme="majorHAnsi" w:hAnsiTheme="majorHAnsi" w:cstheme="majorHAnsi"/>
        </w:rPr>
        <w:t xml:space="preserve"> Anreise</w:t>
      </w:r>
      <w:r w:rsidR="00F25A94">
        <w:rPr>
          <w:rFonts w:asciiTheme="majorHAnsi" w:hAnsiTheme="majorHAnsi" w:cstheme="majorHAnsi"/>
        </w:rPr>
        <w:t>n</w:t>
      </w:r>
      <w:r>
        <w:rPr>
          <w:rFonts w:asciiTheme="majorHAnsi" w:hAnsiTheme="majorHAnsi" w:cstheme="majorHAnsi"/>
        </w:rPr>
        <w:t xml:space="preserve"> </w:t>
      </w:r>
      <w:r w:rsidR="005069B8">
        <w:rPr>
          <w:rFonts w:asciiTheme="majorHAnsi" w:hAnsiTheme="majorHAnsi" w:cstheme="majorHAnsi"/>
        </w:rPr>
        <w:t>vermieden</w:t>
      </w:r>
      <w:r>
        <w:rPr>
          <w:rFonts w:asciiTheme="majorHAnsi" w:hAnsiTheme="majorHAnsi" w:cstheme="majorHAnsi"/>
        </w:rPr>
        <w:t xml:space="preserve"> werden könn</w:t>
      </w:r>
      <w:r w:rsidR="00E05081">
        <w:rPr>
          <w:rFonts w:asciiTheme="majorHAnsi" w:hAnsiTheme="majorHAnsi" w:cstheme="majorHAnsi"/>
        </w:rPr>
        <w:t>t</w:t>
      </w:r>
      <w:r>
        <w:rPr>
          <w:rFonts w:asciiTheme="majorHAnsi" w:hAnsiTheme="majorHAnsi" w:cstheme="majorHAnsi"/>
        </w:rPr>
        <w:t>en.</w:t>
      </w:r>
      <w:r w:rsidR="00E05081">
        <w:rPr>
          <w:rFonts w:asciiTheme="majorHAnsi" w:hAnsiTheme="majorHAnsi" w:cstheme="majorHAnsi"/>
        </w:rPr>
        <w:t xml:space="preserve"> Das ist auch in Bezug auf den Umweltschutz zu begrüßen. </w:t>
      </w:r>
      <w:r w:rsidR="005069B8">
        <w:rPr>
          <w:rFonts w:asciiTheme="majorHAnsi" w:hAnsiTheme="majorHAnsi" w:cstheme="majorHAnsi"/>
        </w:rPr>
        <w:t xml:space="preserve">Auch die Bayerische Gemeindeordnung wurde kürzlich dahingehend geändert, dass die Teilnahme </w:t>
      </w:r>
      <w:r w:rsidR="005069B8" w:rsidRPr="005069B8">
        <w:rPr>
          <w:rFonts w:asciiTheme="majorHAnsi" w:hAnsiTheme="majorHAnsi" w:cstheme="majorHAnsi"/>
        </w:rPr>
        <w:t xml:space="preserve">mittels Ton-Bild-Übertragung an der Gemeinderatsitzung ermöglicht werden kann. Das zeigt, dass auch die Behörden die Wichtigkeit der Digitalisierung erkannt haben und </w:t>
      </w:r>
      <w:r w:rsidR="005069B8">
        <w:rPr>
          <w:rFonts w:asciiTheme="majorHAnsi" w:hAnsiTheme="majorHAnsi" w:cstheme="majorHAnsi"/>
        </w:rPr>
        <w:t>Lösungen suchen</w:t>
      </w:r>
      <w:r w:rsidR="005069B8" w:rsidRPr="005069B8">
        <w:rPr>
          <w:rFonts w:asciiTheme="majorHAnsi" w:hAnsiTheme="majorHAnsi" w:cstheme="majorHAnsi"/>
        </w:rPr>
        <w:t>.</w:t>
      </w:r>
    </w:p>
    <w:sectPr w:rsidR="00D12FBD" w:rsidRPr="009E7B49" w:rsidSect="00CE780A">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04EDA" w14:textId="77777777" w:rsidR="0077693A" w:rsidRDefault="0077693A" w:rsidP="00434110">
      <w:pPr>
        <w:spacing w:after="0" w:line="240" w:lineRule="auto"/>
      </w:pPr>
      <w:r>
        <w:separator/>
      </w:r>
    </w:p>
  </w:endnote>
  <w:endnote w:type="continuationSeparator" w:id="0">
    <w:p w14:paraId="30009275" w14:textId="77777777" w:rsidR="0077693A" w:rsidRDefault="0077693A" w:rsidP="0043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DBC81" w14:textId="77777777" w:rsidR="0077693A" w:rsidRDefault="0077693A" w:rsidP="00434110">
      <w:pPr>
        <w:spacing w:after="0" w:line="240" w:lineRule="auto"/>
      </w:pPr>
      <w:r>
        <w:separator/>
      </w:r>
    </w:p>
  </w:footnote>
  <w:footnote w:type="continuationSeparator" w:id="0">
    <w:p w14:paraId="21FB52EC" w14:textId="77777777" w:rsidR="0077693A" w:rsidRDefault="0077693A" w:rsidP="00434110">
      <w:pPr>
        <w:spacing w:after="0" w:line="240" w:lineRule="auto"/>
      </w:pPr>
      <w:r>
        <w:continuationSeparator/>
      </w:r>
    </w:p>
  </w:footnote>
  <w:footnote w:id="1">
    <w:p w14:paraId="763FE5F4" w14:textId="5D87A3B2" w:rsidR="0024219A" w:rsidRPr="005069B8" w:rsidRDefault="0024219A"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Köbler, NJW 2021, 1072.</w:t>
      </w:r>
    </w:p>
  </w:footnote>
  <w:footnote w:id="2">
    <w:p w14:paraId="5F2D1B4C" w14:textId="10E4FB19" w:rsidR="0024219A" w:rsidRPr="005069B8" w:rsidRDefault="0024219A"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https://rsw.beck.de/aktuell/daily/meldung/detail/baden-wuerttemberg-und-bayern-treiben-digitalisierung-in-der-justiz-voran.</w:t>
      </w:r>
    </w:p>
  </w:footnote>
  <w:footnote w:id="3">
    <w:p w14:paraId="5FCC9DDB" w14:textId="7089A67C" w:rsidR="0024219A" w:rsidRPr="005069B8" w:rsidRDefault="0024219A"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https://rsw.beck.de/aktuell/daily/meldung/detail/baden-wuerttemberg-und-bayern-treiben-digitalisierung-in-der-justiz-voran.</w:t>
      </w:r>
    </w:p>
  </w:footnote>
  <w:footnote w:id="4">
    <w:p w14:paraId="4F71F8EA" w14:textId="6EB48307" w:rsidR="008342AC" w:rsidRPr="005069B8" w:rsidRDefault="008342AC"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Köbler, NJW 2021, 1072.</w:t>
      </w:r>
    </w:p>
  </w:footnote>
  <w:footnote w:id="5">
    <w:p w14:paraId="0F458747" w14:textId="1A67A4FA" w:rsidR="00E44B8E" w:rsidRPr="005069B8" w:rsidRDefault="00E44B8E" w:rsidP="00D25F11">
      <w:pPr>
        <w:shd w:val="clear" w:color="auto" w:fill="FFFFFF"/>
        <w:spacing w:after="0" w:line="240" w:lineRule="auto"/>
        <w:rPr>
          <w:rFonts w:asciiTheme="majorHAnsi" w:eastAsia="Times New Roman" w:hAnsiTheme="majorHAnsi" w:cstheme="majorHAnsi"/>
          <w:color w:val="141414"/>
          <w:sz w:val="20"/>
          <w:szCs w:val="20"/>
          <w:lang w:eastAsia="de-DE"/>
        </w:rPr>
      </w:pPr>
      <w:r w:rsidRPr="005069B8">
        <w:rPr>
          <w:rStyle w:val="Funotenzeichen"/>
          <w:rFonts w:asciiTheme="majorHAnsi" w:hAnsiTheme="majorHAnsi" w:cstheme="majorHAnsi"/>
          <w:sz w:val="20"/>
          <w:szCs w:val="20"/>
        </w:rPr>
        <w:footnoteRef/>
      </w:r>
      <w:r w:rsidRPr="005069B8">
        <w:rPr>
          <w:rFonts w:asciiTheme="majorHAnsi" w:hAnsiTheme="majorHAnsi" w:cstheme="majorHAnsi"/>
          <w:sz w:val="20"/>
          <w:szCs w:val="20"/>
        </w:rPr>
        <w:t xml:space="preserve"> </w:t>
      </w:r>
      <w:r w:rsidRPr="005069B8">
        <w:rPr>
          <w:rFonts w:asciiTheme="majorHAnsi" w:eastAsia="Times New Roman" w:hAnsiTheme="majorHAnsi" w:cstheme="majorHAnsi"/>
          <w:color w:val="141414"/>
          <w:sz w:val="20"/>
          <w:szCs w:val="20"/>
          <w:lang w:eastAsia="de-DE"/>
        </w:rPr>
        <w:t>MüKoZPO/Fritsche ZPO § 128a Rn. 1.</w:t>
      </w:r>
    </w:p>
  </w:footnote>
  <w:footnote w:id="6">
    <w:p w14:paraId="7B164EEF" w14:textId="3DE7F45C" w:rsidR="008342AC" w:rsidRPr="005069B8" w:rsidRDefault="008342AC"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https://rsw.beck.de/aktuell/daily/meldung/detail/baden-wuerttemberg-und-bayern-treiben-digitalisierung-in-der-justiz-voran.</w:t>
      </w:r>
    </w:p>
  </w:footnote>
  <w:footnote w:id="7">
    <w:p w14:paraId="36F89913" w14:textId="4B430577" w:rsidR="00B074A7" w:rsidRPr="005069B8" w:rsidRDefault="00B074A7"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MüKoZPO/Fritsche ZPO § 128a Rn. 4.</w:t>
      </w:r>
    </w:p>
  </w:footnote>
  <w:footnote w:id="8">
    <w:p w14:paraId="00B854B6" w14:textId="3DD04DC1" w:rsidR="00B074A7" w:rsidRPr="005069B8" w:rsidRDefault="00B074A7"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MüKoZPO/Fritsche ZPO § 128a Rn. 4.</w:t>
      </w:r>
    </w:p>
  </w:footnote>
  <w:footnote w:id="9">
    <w:p w14:paraId="6E99DF6E" w14:textId="1F07A16B" w:rsidR="00B074A7" w:rsidRPr="005069B8" w:rsidRDefault="00B074A7"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w:t>
      </w:r>
      <w:r w:rsidRPr="005069B8">
        <w:rPr>
          <w:rFonts w:asciiTheme="majorHAnsi" w:hAnsiTheme="majorHAnsi" w:cstheme="majorHAnsi"/>
          <w:i/>
          <w:iCs/>
        </w:rPr>
        <w:t>Köbler</w:t>
      </w:r>
      <w:r w:rsidRPr="005069B8">
        <w:rPr>
          <w:rFonts w:asciiTheme="majorHAnsi" w:hAnsiTheme="majorHAnsi" w:cstheme="majorHAnsi"/>
        </w:rPr>
        <w:t>, NJW 2021, 1072.</w:t>
      </w:r>
    </w:p>
  </w:footnote>
  <w:footnote w:id="10">
    <w:p w14:paraId="59C2352C" w14:textId="58FE68E7" w:rsidR="00B074A7" w:rsidRPr="005069B8" w:rsidRDefault="00B074A7" w:rsidP="00D25F11">
      <w:pPr>
        <w:shd w:val="clear" w:color="auto" w:fill="FFFFFF"/>
        <w:spacing w:after="0" w:line="240" w:lineRule="auto"/>
        <w:rPr>
          <w:rFonts w:asciiTheme="majorHAnsi" w:eastAsia="Times New Roman" w:hAnsiTheme="majorHAnsi" w:cstheme="majorHAnsi"/>
          <w:color w:val="141414"/>
          <w:sz w:val="20"/>
          <w:szCs w:val="20"/>
          <w:lang w:eastAsia="de-DE"/>
        </w:rPr>
      </w:pPr>
      <w:r w:rsidRPr="005069B8">
        <w:rPr>
          <w:rStyle w:val="Funotenzeichen"/>
          <w:rFonts w:asciiTheme="majorHAnsi" w:hAnsiTheme="majorHAnsi" w:cstheme="majorHAnsi"/>
          <w:sz w:val="20"/>
          <w:szCs w:val="20"/>
        </w:rPr>
        <w:footnoteRef/>
      </w:r>
      <w:r w:rsidRPr="005069B8">
        <w:rPr>
          <w:rFonts w:asciiTheme="majorHAnsi" w:hAnsiTheme="majorHAnsi" w:cstheme="majorHAnsi"/>
          <w:sz w:val="20"/>
          <w:szCs w:val="20"/>
        </w:rPr>
        <w:t xml:space="preserve"> MüKoZPO/Fritsche ZPO § 128a Rn. 4</w:t>
      </w:r>
      <w:r w:rsidR="00D25F11" w:rsidRPr="005069B8">
        <w:rPr>
          <w:rFonts w:asciiTheme="majorHAnsi" w:hAnsiTheme="majorHAnsi" w:cstheme="majorHAnsi"/>
          <w:sz w:val="20"/>
          <w:szCs w:val="20"/>
        </w:rPr>
        <w:t xml:space="preserve">; vgl. auch </w:t>
      </w:r>
      <w:r w:rsidR="00D25F11" w:rsidRPr="005069B8">
        <w:rPr>
          <w:rFonts w:asciiTheme="majorHAnsi" w:eastAsia="Times New Roman" w:hAnsiTheme="majorHAnsi" w:cstheme="majorHAnsi"/>
          <w:color w:val="141414"/>
          <w:sz w:val="20"/>
          <w:szCs w:val="20"/>
          <w:lang w:eastAsia="de-DE"/>
        </w:rPr>
        <w:t>BeckOK ZPO/von Selle ZPO § 128a Rn. 8.</w:t>
      </w:r>
    </w:p>
  </w:footnote>
  <w:footnote w:id="11">
    <w:p w14:paraId="67CDE404" w14:textId="418C6A29" w:rsidR="00B074A7" w:rsidRPr="005069B8" w:rsidRDefault="00B074A7"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MüKoZPO/Fritsche ZPO § 128a Rn. 4.</w:t>
      </w:r>
    </w:p>
  </w:footnote>
  <w:footnote w:id="12">
    <w:p w14:paraId="4FD48747" w14:textId="7A221F5C" w:rsidR="00E44B8E" w:rsidRPr="005069B8" w:rsidRDefault="00E44B8E"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w:t>
      </w:r>
      <w:r w:rsidR="00D25F11" w:rsidRPr="005069B8">
        <w:rPr>
          <w:rFonts w:asciiTheme="majorHAnsi" w:hAnsiTheme="majorHAnsi" w:cstheme="majorHAnsi"/>
        </w:rPr>
        <w:t>MüKoZPO/Fritsche ZPO § 128a Rn. 4.</w:t>
      </w:r>
    </w:p>
  </w:footnote>
  <w:footnote w:id="13">
    <w:p w14:paraId="74D69EFA" w14:textId="3E10C60A" w:rsidR="00B074A7" w:rsidRPr="005069B8" w:rsidRDefault="00B074A7"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MüKoZPO/Fritsche ZPO § 128a Rn. 4.</w:t>
      </w:r>
    </w:p>
  </w:footnote>
  <w:footnote w:id="14">
    <w:p w14:paraId="397939F7" w14:textId="66EB484E" w:rsidR="00B074A7" w:rsidRPr="005069B8" w:rsidRDefault="00B074A7"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MüKoZPO/Fritsche ZPO § 128a Rn. </w:t>
      </w:r>
      <w:r w:rsidR="00D25F11" w:rsidRPr="005069B8">
        <w:rPr>
          <w:rFonts w:asciiTheme="majorHAnsi" w:hAnsiTheme="majorHAnsi" w:cstheme="majorHAnsi"/>
        </w:rPr>
        <w:t>5</w:t>
      </w:r>
      <w:r w:rsidRPr="005069B8">
        <w:rPr>
          <w:rFonts w:asciiTheme="majorHAnsi" w:hAnsiTheme="majorHAnsi" w:cstheme="majorHAnsi"/>
        </w:rPr>
        <w:t>.</w:t>
      </w:r>
    </w:p>
  </w:footnote>
  <w:footnote w:id="15">
    <w:p w14:paraId="450A73FD" w14:textId="5E88B25E" w:rsidR="00B074A7" w:rsidRPr="005069B8" w:rsidRDefault="00B074A7"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MüKoZPO/Fritsche ZPO § 128a Rn. </w:t>
      </w:r>
      <w:r w:rsidR="00D25F11" w:rsidRPr="005069B8">
        <w:rPr>
          <w:rFonts w:asciiTheme="majorHAnsi" w:hAnsiTheme="majorHAnsi" w:cstheme="majorHAnsi"/>
        </w:rPr>
        <w:t>5</w:t>
      </w:r>
      <w:r w:rsidRPr="005069B8">
        <w:rPr>
          <w:rFonts w:asciiTheme="majorHAnsi" w:hAnsiTheme="majorHAnsi" w:cstheme="majorHAnsi"/>
        </w:rPr>
        <w:t>.</w:t>
      </w:r>
    </w:p>
  </w:footnote>
  <w:footnote w:id="16">
    <w:p w14:paraId="5A8F4BB7" w14:textId="77777777" w:rsidR="00D25F11" w:rsidRPr="005069B8" w:rsidRDefault="00D25F11"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MüKoZPO/Fritsche ZPO § 128a Rn. 6.</w:t>
      </w:r>
    </w:p>
  </w:footnote>
  <w:footnote w:id="17">
    <w:p w14:paraId="5A7FE134" w14:textId="27B8060F" w:rsidR="00B074A7" w:rsidRPr="005069B8" w:rsidRDefault="00B074A7" w:rsidP="00D25F11">
      <w:pPr>
        <w:shd w:val="clear" w:color="auto" w:fill="FFFFFF"/>
        <w:spacing w:after="0" w:line="240" w:lineRule="auto"/>
        <w:rPr>
          <w:rFonts w:asciiTheme="majorHAnsi" w:eastAsia="Times New Roman" w:hAnsiTheme="majorHAnsi" w:cstheme="majorHAnsi"/>
          <w:color w:val="141414"/>
          <w:sz w:val="20"/>
          <w:szCs w:val="20"/>
          <w:lang w:eastAsia="de-DE"/>
        </w:rPr>
      </w:pPr>
      <w:r w:rsidRPr="005069B8">
        <w:rPr>
          <w:rStyle w:val="Funotenzeichen"/>
          <w:rFonts w:asciiTheme="majorHAnsi" w:hAnsiTheme="majorHAnsi" w:cstheme="majorHAnsi"/>
          <w:sz w:val="20"/>
          <w:szCs w:val="20"/>
        </w:rPr>
        <w:footnoteRef/>
      </w:r>
      <w:r w:rsidRPr="005069B8">
        <w:rPr>
          <w:rFonts w:asciiTheme="majorHAnsi" w:hAnsiTheme="majorHAnsi" w:cstheme="majorHAnsi"/>
          <w:sz w:val="20"/>
          <w:szCs w:val="20"/>
        </w:rPr>
        <w:t xml:space="preserve"> MüKoZPO/Fritsche ZPO § 128a Rn. 6</w:t>
      </w:r>
      <w:r w:rsidR="00D25F11" w:rsidRPr="005069B8">
        <w:rPr>
          <w:rFonts w:asciiTheme="majorHAnsi" w:hAnsiTheme="majorHAnsi" w:cstheme="majorHAnsi"/>
          <w:sz w:val="20"/>
          <w:szCs w:val="20"/>
        </w:rPr>
        <w:t xml:space="preserve">; vgl. auch </w:t>
      </w:r>
      <w:r w:rsidR="00D25F11" w:rsidRPr="005069B8">
        <w:rPr>
          <w:rFonts w:asciiTheme="majorHAnsi" w:eastAsia="Times New Roman" w:hAnsiTheme="majorHAnsi" w:cstheme="majorHAnsi"/>
          <w:color w:val="141414"/>
          <w:sz w:val="20"/>
          <w:szCs w:val="20"/>
          <w:lang w:eastAsia="de-DE"/>
        </w:rPr>
        <w:t>BeckOK ZPO/von Selle ZPO § 128a Rn. 8.</w:t>
      </w:r>
    </w:p>
  </w:footnote>
  <w:footnote w:id="18">
    <w:p w14:paraId="1B5C3C86" w14:textId="7866D612" w:rsidR="00B074A7" w:rsidRPr="005069B8" w:rsidRDefault="00B074A7"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MüKoZPO/Fritsche ZPO § 128a Rn. 9.</w:t>
      </w:r>
    </w:p>
  </w:footnote>
  <w:footnote w:id="19">
    <w:p w14:paraId="74448749" w14:textId="72600C7B" w:rsidR="00D25F11" w:rsidRPr="005069B8" w:rsidRDefault="00D25F11"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MüKoZPO/Fritsche ZPO § 128a Rn. 9.</w:t>
      </w:r>
    </w:p>
  </w:footnote>
  <w:footnote w:id="20">
    <w:p w14:paraId="44014D38" w14:textId="6468ED5A" w:rsidR="0077723D" w:rsidRPr="005069B8" w:rsidRDefault="0077723D" w:rsidP="00D25F11">
      <w:pPr>
        <w:shd w:val="clear" w:color="auto" w:fill="FFFFFF"/>
        <w:spacing w:after="0" w:line="240" w:lineRule="auto"/>
        <w:rPr>
          <w:rFonts w:asciiTheme="majorHAnsi" w:eastAsia="Times New Roman" w:hAnsiTheme="majorHAnsi" w:cstheme="majorHAnsi"/>
          <w:color w:val="141414"/>
          <w:sz w:val="20"/>
          <w:szCs w:val="20"/>
          <w:lang w:eastAsia="de-DE"/>
        </w:rPr>
      </w:pPr>
      <w:r w:rsidRPr="005069B8">
        <w:rPr>
          <w:rStyle w:val="Funotenzeichen"/>
          <w:rFonts w:asciiTheme="majorHAnsi" w:hAnsiTheme="majorHAnsi" w:cstheme="majorHAnsi"/>
          <w:sz w:val="20"/>
          <w:szCs w:val="20"/>
        </w:rPr>
        <w:footnoteRef/>
      </w:r>
      <w:r w:rsidRPr="005069B8">
        <w:rPr>
          <w:rFonts w:asciiTheme="majorHAnsi" w:hAnsiTheme="majorHAnsi" w:cstheme="majorHAnsi"/>
          <w:sz w:val="20"/>
          <w:szCs w:val="20"/>
        </w:rPr>
        <w:t xml:space="preserve"> </w:t>
      </w:r>
      <w:r w:rsidR="00D25F11" w:rsidRPr="005069B8">
        <w:rPr>
          <w:rFonts w:asciiTheme="majorHAnsi" w:eastAsia="Times New Roman" w:hAnsiTheme="majorHAnsi" w:cstheme="majorHAnsi"/>
          <w:color w:val="141414"/>
          <w:sz w:val="20"/>
          <w:szCs w:val="20"/>
          <w:lang w:eastAsia="de-DE"/>
        </w:rPr>
        <w:t xml:space="preserve">BeckOK ZPO/von Selle ZPO § 128a Rn. 3, 4; </w:t>
      </w:r>
      <w:r w:rsidR="00D25F11" w:rsidRPr="005069B8">
        <w:rPr>
          <w:rFonts w:asciiTheme="majorHAnsi" w:hAnsiTheme="majorHAnsi" w:cstheme="majorHAnsi"/>
          <w:sz w:val="20"/>
          <w:szCs w:val="20"/>
        </w:rPr>
        <w:t>MüKoZPO/Fritsche ZPO § 128a Rn. 4.</w:t>
      </w:r>
    </w:p>
  </w:footnote>
  <w:footnote w:id="21">
    <w:p w14:paraId="32E18A3A" w14:textId="1ACA549F" w:rsidR="00B074A7" w:rsidRPr="005069B8" w:rsidRDefault="00B074A7" w:rsidP="00D25F11">
      <w:pPr>
        <w:shd w:val="clear" w:color="auto" w:fill="FFFFFF"/>
        <w:spacing w:after="0" w:line="240" w:lineRule="auto"/>
        <w:rPr>
          <w:rFonts w:asciiTheme="majorHAnsi" w:eastAsia="Times New Roman" w:hAnsiTheme="majorHAnsi" w:cstheme="majorHAnsi"/>
          <w:color w:val="141414"/>
          <w:sz w:val="20"/>
          <w:szCs w:val="20"/>
          <w:lang w:eastAsia="de-DE"/>
        </w:rPr>
      </w:pPr>
      <w:r w:rsidRPr="005069B8">
        <w:rPr>
          <w:rStyle w:val="Funotenzeichen"/>
          <w:rFonts w:asciiTheme="majorHAnsi" w:hAnsiTheme="majorHAnsi" w:cstheme="majorHAnsi"/>
          <w:sz w:val="20"/>
          <w:szCs w:val="20"/>
        </w:rPr>
        <w:footnoteRef/>
      </w:r>
      <w:r w:rsidRPr="005069B8">
        <w:rPr>
          <w:rFonts w:asciiTheme="majorHAnsi" w:hAnsiTheme="majorHAnsi" w:cstheme="majorHAnsi"/>
          <w:sz w:val="20"/>
          <w:szCs w:val="20"/>
        </w:rPr>
        <w:t xml:space="preserve"> MüKoZPO/Fritsche ZPO § 128a Rn. 5</w:t>
      </w:r>
      <w:r w:rsidR="00D25F11" w:rsidRPr="005069B8">
        <w:rPr>
          <w:rFonts w:asciiTheme="majorHAnsi" w:hAnsiTheme="majorHAnsi" w:cstheme="majorHAnsi"/>
          <w:sz w:val="20"/>
          <w:szCs w:val="20"/>
        </w:rPr>
        <w:t xml:space="preserve">; </w:t>
      </w:r>
      <w:r w:rsidR="00D25F11" w:rsidRPr="005069B8">
        <w:rPr>
          <w:rFonts w:asciiTheme="majorHAnsi" w:eastAsia="Times New Roman" w:hAnsiTheme="majorHAnsi" w:cstheme="majorHAnsi"/>
          <w:color w:val="141414"/>
          <w:sz w:val="20"/>
          <w:szCs w:val="20"/>
          <w:lang w:eastAsia="de-DE"/>
        </w:rPr>
        <w:t>BeckOK ZPO/von Selle ZPO § 128a Rn. 3, 4</w:t>
      </w:r>
    </w:p>
  </w:footnote>
  <w:footnote w:id="22">
    <w:p w14:paraId="5F44E5F7" w14:textId="6B737409" w:rsidR="00B074A7" w:rsidRPr="005069B8" w:rsidRDefault="00B074A7" w:rsidP="00D25F11">
      <w:pPr>
        <w:pStyle w:val="Funotentext"/>
        <w:rPr>
          <w:rFonts w:asciiTheme="majorHAnsi" w:hAnsiTheme="majorHAnsi" w:cstheme="majorHAnsi"/>
        </w:rPr>
      </w:pPr>
      <w:r w:rsidRPr="005069B8">
        <w:rPr>
          <w:rStyle w:val="Funotenzeichen"/>
          <w:rFonts w:asciiTheme="majorHAnsi" w:hAnsiTheme="majorHAnsi" w:cstheme="majorHAnsi"/>
        </w:rPr>
        <w:footnoteRef/>
      </w:r>
      <w:r w:rsidRPr="005069B8">
        <w:rPr>
          <w:rFonts w:asciiTheme="majorHAnsi" w:hAnsiTheme="majorHAnsi" w:cstheme="majorHAnsi"/>
        </w:rPr>
        <w:t xml:space="preserve"> Vgl. dazu: Köbler, NJW 2021, 1072.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44003" w14:textId="154F5B07" w:rsidR="00231BEE" w:rsidRPr="00231BEE" w:rsidRDefault="00231BEE" w:rsidP="00231BEE">
    <w:pPr>
      <w:jc w:val="both"/>
    </w:pPr>
    <w:r w:rsidRPr="00231BEE">
      <w:t xml:space="preserve">Info-Brief vom </w:t>
    </w:r>
    <w:r w:rsidR="005069B8">
      <w:t>29</w:t>
    </w:r>
    <w:r w:rsidRPr="00231BEE">
      <w:t>.0</w:t>
    </w:r>
    <w:r w:rsidR="00030FCA">
      <w:t>8</w:t>
    </w:r>
    <w:r w:rsidRPr="00231BEE">
      <w:t>.20</w:t>
    </w:r>
    <w:r w:rsidR="00FE1D92">
      <w:t>21</w:t>
    </w:r>
  </w:p>
  <w:p w14:paraId="6FF87F37" w14:textId="77777777" w:rsidR="00231BEE" w:rsidRDefault="00231B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BA7EFF"/>
    <w:multiLevelType w:val="multilevel"/>
    <w:tmpl w:val="C3DC6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C0A"/>
    <w:rsid w:val="000166FD"/>
    <w:rsid w:val="00030FCA"/>
    <w:rsid w:val="00042F02"/>
    <w:rsid w:val="000578D6"/>
    <w:rsid w:val="00061DD4"/>
    <w:rsid w:val="000749E9"/>
    <w:rsid w:val="000B0CD8"/>
    <w:rsid w:val="000E76B5"/>
    <w:rsid w:val="000F2E16"/>
    <w:rsid w:val="000F4C0A"/>
    <w:rsid w:val="0012540D"/>
    <w:rsid w:val="00134EB0"/>
    <w:rsid w:val="00143BAE"/>
    <w:rsid w:val="00190A82"/>
    <w:rsid w:val="001B41B1"/>
    <w:rsid w:val="001B5E48"/>
    <w:rsid w:val="001E7C18"/>
    <w:rsid w:val="00213ABB"/>
    <w:rsid w:val="00221F46"/>
    <w:rsid w:val="00231BEE"/>
    <w:rsid w:val="0024219A"/>
    <w:rsid w:val="00256B8E"/>
    <w:rsid w:val="00261368"/>
    <w:rsid w:val="0028755C"/>
    <w:rsid w:val="002F4639"/>
    <w:rsid w:val="00307D10"/>
    <w:rsid w:val="00371F66"/>
    <w:rsid w:val="00375B29"/>
    <w:rsid w:val="00384260"/>
    <w:rsid w:val="003B492A"/>
    <w:rsid w:val="003B5865"/>
    <w:rsid w:val="00434110"/>
    <w:rsid w:val="004C49FC"/>
    <w:rsid w:val="004F5678"/>
    <w:rsid w:val="00500EBF"/>
    <w:rsid w:val="005069B8"/>
    <w:rsid w:val="005113FD"/>
    <w:rsid w:val="00541120"/>
    <w:rsid w:val="00547EBF"/>
    <w:rsid w:val="00563AF3"/>
    <w:rsid w:val="00575006"/>
    <w:rsid w:val="005E45AC"/>
    <w:rsid w:val="00650E21"/>
    <w:rsid w:val="00656041"/>
    <w:rsid w:val="006A0AF1"/>
    <w:rsid w:val="006B5004"/>
    <w:rsid w:val="006B7FB0"/>
    <w:rsid w:val="006C56E3"/>
    <w:rsid w:val="006E3468"/>
    <w:rsid w:val="00706F78"/>
    <w:rsid w:val="007152A4"/>
    <w:rsid w:val="00724179"/>
    <w:rsid w:val="00756526"/>
    <w:rsid w:val="0077693A"/>
    <w:rsid w:val="0077723D"/>
    <w:rsid w:val="00790FE6"/>
    <w:rsid w:val="007A009F"/>
    <w:rsid w:val="007A4DE8"/>
    <w:rsid w:val="007D463B"/>
    <w:rsid w:val="00815F09"/>
    <w:rsid w:val="008342AC"/>
    <w:rsid w:val="00875F32"/>
    <w:rsid w:val="008A52C0"/>
    <w:rsid w:val="00947794"/>
    <w:rsid w:val="00957CF0"/>
    <w:rsid w:val="00983F98"/>
    <w:rsid w:val="009B4A1B"/>
    <w:rsid w:val="009C114A"/>
    <w:rsid w:val="009D2F8C"/>
    <w:rsid w:val="009E3BF4"/>
    <w:rsid w:val="009E4E4F"/>
    <w:rsid w:val="009E7B49"/>
    <w:rsid w:val="00A12A69"/>
    <w:rsid w:val="00A66349"/>
    <w:rsid w:val="00AD18EF"/>
    <w:rsid w:val="00AE5CDC"/>
    <w:rsid w:val="00AF25F1"/>
    <w:rsid w:val="00AF310A"/>
    <w:rsid w:val="00AF6C95"/>
    <w:rsid w:val="00B074A7"/>
    <w:rsid w:val="00B65FFE"/>
    <w:rsid w:val="00B868F4"/>
    <w:rsid w:val="00BD4865"/>
    <w:rsid w:val="00BE71AA"/>
    <w:rsid w:val="00C0129F"/>
    <w:rsid w:val="00C17B09"/>
    <w:rsid w:val="00C24020"/>
    <w:rsid w:val="00C24EBA"/>
    <w:rsid w:val="00C276D7"/>
    <w:rsid w:val="00C3534B"/>
    <w:rsid w:val="00C82D52"/>
    <w:rsid w:val="00C93093"/>
    <w:rsid w:val="00CA69AA"/>
    <w:rsid w:val="00CB647A"/>
    <w:rsid w:val="00CD753B"/>
    <w:rsid w:val="00CE3745"/>
    <w:rsid w:val="00CE780A"/>
    <w:rsid w:val="00CF4DAC"/>
    <w:rsid w:val="00CF7C27"/>
    <w:rsid w:val="00D12FBD"/>
    <w:rsid w:val="00D25F11"/>
    <w:rsid w:val="00D408EB"/>
    <w:rsid w:val="00D75891"/>
    <w:rsid w:val="00D90579"/>
    <w:rsid w:val="00DB54AC"/>
    <w:rsid w:val="00DD5C85"/>
    <w:rsid w:val="00E05081"/>
    <w:rsid w:val="00E078AE"/>
    <w:rsid w:val="00E37D00"/>
    <w:rsid w:val="00E44B8E"/>
    <w:rsid w:val="00E74FC6"/>
    <w:rsid w:val="00EC0595"/>
    <w:rsid w:val="00ED0440"/>
    <w:rsid w:val="00EE19AB"/>
    <w:rsid w:val="00F23A25"/>
    <w:rsid w:val="00F25A94"/>
    <w:rsid w:val="00F517FB"/>
    <w:rsid w:val="00F60A40"/>
    <w:rsid w:val="00F65D33"/>
    <w:rsid w:val="00F90C0B"/>
    <w:rsid w:val="00F93F20"/>
    <w:rsid w:val="00FC4386"/>
    <w:rsid w:val="00FE1D92"/>
    <w:rsid w:val="00FF2C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932B5"/>
  <w15:chartTrackingRefBased/>
  <w15:docId w15:val="{5578AE67-9109-470C-A553-F62FC886A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basedOn w:val="Absatz-Standardschriftart"/>
    <w:uiPriority w:val="20"/>
    <w:qFormat/>
    <w:rsid w:val="00A66349"/>
    <w:rPr>
      <w:i/>
      <w:iCs/>
    </w:rPr>
  </w:style>
  <w:style w:type="paragraph" w:styleId="Funotentext">
    <w:name w:val="footnote text"/>
    <w:basedOn w:val="Standard"/>
    <w:link w:val="FunotentextZchn"/>
    <w:uiPriority w:val="99"/>
    <w:semiHidden/>
    <w:unhideWhenUsed/>
    <w:rsid w:val="0043411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34110"/>
    <w:rPr>
      <w:sz w:val="20"/>
      <w:szCs w:val="20"/>
    </w:rPr>
  </w:style>
  <w:style w:type="character" w:styleId="Funotenzeichen">
    <w:name w:val="footnote reference"/>
    <w:basedOn w:val="Absatz-Standardschriftart"/>
    <w:uiPriority w:val="99"/>
    <w:semiHidden/>
    <w:unhideWhenUsed/>
    <w:rsid w:val="00434110"/>
    <w:rPr>
      <w:vertAlign w:val="superscript"/>
    </w:rPr>
  </w:style>
  <w:style w:type="paragraph" w:styleId="Kopfzeile">
    <w:name w:val="header"/>
    <w:basedOn w:val="Standard"/>
    <w:link w:val="KopfzeileZchn"/>
    <w:uiPriority w:val="99"/>
    <w:unhideWhenUsed/>
    <w:rsid w:val="00231B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1BEE"/>
  </w:style>
  <w:style w:type="paragraph" w:styleId="Fuzeile">
    <w:name w:val="footer"/>
    <w:basedOn w:val="Standard"/>
    <w:link w:val="FuzeileZchn"/>
    <w:uiPriority w:val="99"/>
    <w:unhideWhenUsed/>
    <w:rsid w:val="00231B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1BEE"/>
  </w:style>
  <w:style w:type="character" w:styleId="Hyperlink">
    <w:name w:val="Hyperlink"/>
    <w:basedOn w:val="Absatz-Standardschriftart"/>
    <w:uiPriority w:val="99"/>
    <w:unhideWhenUsed/>
    <w:rsid w:val="00CE780A"/>
    <w:rPr>
      <w:color w:val="0563C1" w:themeColor="hyperlink"/>
      <w:u w:val="single"/>
    </w:rPr>
  </w:style>
  <w:style w:type="character" w:styleId="NichtaufgelsteErwhnung">
    <w:name w:val="Unresolved Mention"/>
    <w:basedOn w:val="Absatz-Standardschriftart"/>
    <w:uiPriority w:val="99"/>
    <w:semiHidden/>
    <w:unhideWhenUsed/>
    <w:rsid w:val="00CE780A"/>
    <w:rPr>
      <w:color w:val="605E5C"/>
      <w:shd w:val="clear" w:color="auto" w:fill="E1DFDD"/>
    </w:rPr>
  </w:style>
  <w:style w:type="character" w:customStyle="1" w:styleId="zit">
    <w:name w:val="zit"/>
    <w:basedOn w:val="Absatz-Standardschriftart"/>
    <w:rsid w:val="008342AC"/>
  </w:style>
  <w:style w:type="character" w:customStyle="1" w:styleId="satz">
    <w:name w:val="satz"/>
    <w:basedOn w:val="Absatz-Standardschriftart"/>
    <w:rsid w:val="00134EB0"/>
  </w:style>
  <w:style w:type="character" w:customStyle="1" w:styleId="satznr">
    <w:name w:val="satznr"/>
    <w:basedOn w:val="Absatz-Standardschriftart"/>
    <w:rsid w:val="00134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3970">
      <w:bodyDiv w:val="1"/>
      <w:marLeft w:val="0"/>
      <w:marRight w:val="0"/>
      <w:marTop w:val="0"/>
      <w:marBottom w:val="0"/>
      <w:divBdr>
        <w:top w:val="none" w:sz="0" w:space="0" w:color="auto"/>
        <w:left w:val="none" w:sz="0" w:space="0" w:color="auto"/>
        <w:bottom w:val="none" w:sz="0" w:space="0" w:color="auto"/>
        <w:right w:val="none" w:sz="0" w:space="0" w:color="auto"/>
      </w:divBdr>
    </w:div>
    <w:div w:id="94524077">
      <w:bodyDiv w:val="1"/>
      <w:marLeft w:val="0"/>
      <w:marRight w:val="0"/>
      <w:marTop w:val="0"/>
      <w:marBottom w:val="0"/>
      <w:divBdr>
        <w:top w:val="none" w:sz="0" w:space="0" w:color="auto"/>
        <w:left w:val="none" w:sz="0" w:space="0" w:color="auto"/>
        <w:bottom w:val="none" w:sz="0" w:space="0" w:color="auto"/>
        <w:right w:val="none" w:sz="0" w:space="0" w:color="auto"/>
      </w:divBdr>
      <w:divsChild>
        <w:div w:id="396169858">
          <w:marLeft w:val="0"/>
          <w:marRight w:val="0"/>
          <w:marTop w:val="0"/>
          <w:marBottom w:val="0"/>
          <w:divBdr>
            <w:top w:val="none" w:sz="0" w:space="0" w:color="auto"/>
            <w:left w:val="none" w:sz="0" w:space="0" w:color="auto"/>
            <w:bottom w:val="none" w:sz="0" w:space="0" w:color="auto"/>
            <w:right w:val="none" w:sz="0" w:space="0" w:color="auto"/>
          </w:divBdr>
        </w:div>
      </w:divsChild>
    </w:div>
    <w:div w:id="102650066">
      <w:bodyDiv w:val="1"/>
      <w:marLeft w:val="0"/>
      <w:marRight w:val="0"/>
      <w:marTop w:val="0"/>
      <w:marBottom w:val="0"/>
      <w:divBdr>
        <w:top w:val="none" w:sz="0" w:space="0" w:color="auto"/>
        <w:left w:val="none" w:sz="0" w:space="0" w:color="auto"/>
        <w:bottom w:val="none" w:sz="0" w:space="0" w:color="auto"/>
        <w:right w:val="none" w:sz="0" w:space="0" w:color="auto"/>
      </w:divBdr>
      <w:divsChild>
        <w:div w:id="115369100">
          <w:marLeft w:val="0"/>
          <w:marRight w:val="750"/>
          <w:marTop w:val="0"/>
          <w:marBottom w:val="0"/>
          <w:divBdr>
            <w:top w:val="none" w:sz="0" w:space="0" w:color="auto"/>
            <w:left w:val="none" w:sz="0" w:space="0" w:color="auto"/>
            <w:bottom w:val="none" w:sz="0" w:space="0" w:color="auto"/>
            <w:right w:val="none" w:sz="0" w:space="0" w:color="auto"/>
          </w:divBdr>
        </w:div>
        <w:div w:id="1883858834">
          <w:marLeft w:val="0"/>
          <w:marRight w:val="750"/>
          <w:marTop w:val="0"/>
          <w:marBottom w:val="0"/>
          <w:divBdr>
            <w:top w:val="none" w:sz="0" w:space="0" w:color="auto"/>
            <w:left w:val="none" w:sz="0" w:space="0" w:color="auto"/>
            <w:bottom w:val="none" w:sz="0" w:space="0" w:color="auto"/>
            <w:right w:val="none" w:sz="0" w:space="0" w:color="auto"/>
          </w:divBdr>
        </w:div>
      </w:divsChild>
    </w:div>
    <w:div w:id="228274731">
      <w:bodyDiv w:val="1"/>
      <w:marLeft w:val="0"/>
      <w:marRight w:val="0"/>
      <w:marTop w:val="0"/>
      <w:marBottom w:val="0"/>
      <w:divBdr>
        <w:top w:val="none" w:sz="0" w:space="0" w:color="auto"/>
        <w:left w:val="none" w:sz="0" w:space="0" w:color="auto"/>
        <w:bottom w:val="none" w:sz="0" w:space="0" w:color="auto"/>
        <w:right w:val="none" w:sz="0" w:space="0" w:color="auto"/>
      </w:divBdr>
    </w:div>
    <w:div w:id="274793612">
      <w:bodyDiv w:val="1"/>
      <w:marLeft w:val="0"/>
      <w:marRight w:val="0"/>
      <w:marTop w:val="0"/>
      <w:marBottom w:val="0"/>
      <w:divBdr>
        <w:top w:val="none" w:sz="0" w:space="0" w:color="auto"/>
        <w:left w:val="none" w:sz="0" w:space="0" w:color="auto"/>
        <w:bottom w:val="none" w:sz="0" w:space="0" w:color="auto"/>
        <w:right w:val="none" w:sz="0" w:space="0" w:color="auto"/>
      </w:divBdr>
    </w:div>
    <w:div w:id="376316295">
      <w:bodyDiv w:val="1"/>
      <w:marLeft w:val="0"/>
      <w:marRight w:val="0"/>
      <w:marTop w:val="0"/>
      <w:marBottom w:val="0"/>
      <w:divBdr>
        <w:top w:val="none" w:sz="0" w:space="0" w:color="auto"/>
        <w:left w:val="none" w:sz="0" w:space="0" w:color="auto"/>
        <w:bottom w:val="none" w:sz="0" w:space="0" w:color="auto"/>
        <w:right w:val="none" w:sz="0" w:space="0" w:color="auto"/>
      </w:divBdr>
    </w:div>
    <w:div w:id="472716369">
      <w:bodyDiv w:val="1"/>
      <w:marLeft w:val="0"/>
      <w:marRight w:val="0"/>
      <w:marTop w:val="0"/>
      <w:marBottom w:val="0"/>
      <w:divBdr>
        <w:top w:val="none" w:sz="0" w:space="0" w:color="auto"/>
        <w:left w:val="none" w:sz="0" w:space="0" w:color="auto"/>
        <w:bottom w:val="none" w:sz="0" w:space="0" w:color="auto"/>
        <w:right w:val="none" w:sz="0" w:space="0" w:color="auto"/>
      </w:divBdr>
      <w:divsChild>
        <w:div w:id="190802611">
          <w:marLeft w:val="0"/>
          <w:marRight w:val="0"/>
          <w:marTop w:val="0"/>
          <w:marBottom w:val="0"/>
          <w:divBdr>
            <w:top w:val="none" w:sz="0" w:space="0" w:color="auto"/>
            <w:left w:val="none" w:sz="0" w:space="0" w:color="auto"/>
            <w:bottom w:val="none" w:sz="0" w:space="0" w:color="auto"/>
            <w:right w:val="none" w:sz="0" w:space="0" w:color="auto"/>
          </w:divBdr>
          <w:divsChild>
            <w:div w:id="354893928">
              <w:marLeft w:val="0"/>
              <w:marRight w:val="1050"/>
              <w:marTop w:val="0"/>
              <w:marBottom w:val="0"/>
              <w:divBdr>
                <w:top w:val="none" w:sz="0" w:space="0" w:color="auto"/>
                <w:left w:val="none" w:sz="0" w:space="0" w:color="auto"/>
                <w:bottom w:val="none" w:sz="0" w:space="0" w:color="auto"/>
                <w:right w:val="none" w:sz="0" w:space="0" w:color="auto"/>
              </w:divBdr>
            </w:div>
            <w:div w:id="1793556440">
              <w:marLeft w:val="0"/>
              <w:marRight w:val="1050"/>
              <w:marTop w:val="0"/>
              <w:marBottom w:val="0"/>
              <w:divBdr>
                <w:top w:val="none" w:sz="0" w:space="0" w:color="auto"/>
                <w:left w:val="none" w:sz="0" w:space="0" w:color="auto"/>
                <w:bottom w:val="none" w:sz="0" w:space="0" w:color="auto"/>
                <w:right w:val="none" w:sz="0" w:space="0" w:color="auto"/>
              </w:divBdr>
            </w:div>
            <w:div w:id="526721464">
              <w:marLeft w:val="0"/>
              <w:marRight w:val="1050"/>
              <w:marTop w:val="0"/>
              <w:marBottom w:val="0"/>
              <w:divBdr>
                <w:top w:val="none" w:sz="0" w:space="0" w:color="auto"/>
                <w:left w:val="none" w:sz="0" w:space="0" w:color="auto"/>
                <w:bottom w:val="none" w:sz="0" w:space="0" w:color="auto"/>
                <w:right w:val="none" w:sz="0" w:space="0" w:color="auto"/>
              </w:divBdr>
            </w:div>
            <w:div w:id="589002058">
              <w:marLeft w:val="0"/>
              <w:marRight w:val="1050"/>
              <w:marTop w:val="0"/>
              <w:marBottom w:val="0"/>
              <w:divBdr>
                <w:top w:val="none" w:sz="0" w:space="0" w:color="auto"/>
                <w:left w:val="none" w:sz="0" w:space="0" w:color="auto"/>
                <w:bottom w:val="none" w:sz="0" w:space="0" w:color="auto"/>
                <w:right w:val="none" w:sz="0" w:space="0" w:color="auto"/>
              </w:divBdr>
            </w:div>
            <w:div w:id="1059399663">
              <w:marLeft w:val="0"/>
              <w:marRight w:val="1050"/>
              <w:marTop w:val="0"/>
              <w:marBottom w:val="0"/>
              <w:divBdr>
                <w:top w:val="none" w:sz="0" w:space="0" w:color="auto"/>
                <w:left w:val="none" w:sz="0" w:space="0" w:color="auto"/>
                <w:bottom w:val="none" w:sz="0" w:space="0" w:color="auto"/>
                <w:right w:val="none" w:sz="0" w:space="0" w:color="auto"/>
              </w:divBdr>
            </w:div>
            <w:div w:id="163012764">
              <w:marLeft w:val="0"/>
              <w:marRight w:val="1050"/>
              <w:marTop w:val="0"/>
              <w:marBottom w:val="0"/>
              <w:divBdr>
                <w:top w:val="none" w:sz="0" w:space="0" w:color="auto"/>
                <w:left w:val="none" w:sz="0" w:space="0" w:color="auto"/>
                <w:bottom w:val="none" w:sz="0" w:space="0" w:color="auto"/>
                <w:right w:val="none" w:sz="0" w:space="0" w:color="auto"/>
              </w:divBdr>
            </w:div>
            <w:div w:id="1675722424">
              <w:marLeft w:val="0"/>
              <w:marRight w:val="1050"/>
              <w:marTop w:val="0"/>
              <w:marBottom w:val="0"/>
              <w:divBdr>
                <w:top w:val="none" w:sz="0" w:space="0" w:color="auto"/>
                <w:left w:val="none" w:sz="0" w:space="0" w:color="auto"/>
                <w:bottom w:val="none" w:sz="0" w:space="0" w:color="auto"/>
                <w:right w:val="none" w:sz="0" w:space="0" w:color="auto"/>
              </w:divBdr>
            </w:div>
            <w:div w:id="265579221">
              <w:marLeft w:val="0"/>
              <w:marRight w:val="1050"/>
              <w:marTop w:val="0"/>
              <w:marBottom w:val="0"/>
              <w:divBdr>
                <w:top w:val="none" w:sz="0" w:space="0" w:color="auto"/>
                <w:left w:val="none" w:sz="0" w:space="0" w:color="auto"/>
                <w:bottom w:val="none" w:sz="0" w:space="0" w:color="auto"/>
                <w:right w:val="none" w:sz="0" w:space="0" w:color="auto"/>
              </w:divBdr>
            </w:div>
          </w:divsChild>
        </w:div>
      </w:divsChild>
    </w:div>
    <w:div w:id="550271641">
      <w:bodyDiv w:val="1"/>
      <w:marLeft w:val="0"/>
      <w:marRight w:val="0"/>
      <w:marTop w:val="0"/>
      <w:marBottom w:val="0"/>
      <w:divBdr>
        <w:top w:val="none" w:sz="0" w:space="0" w:color="auto"/>
        <w:left w:val="none" w:sz="0" w:space="0" w:color="auto"/>
        <w:bottom w:val="none" w:sz="0" w:space="0" w:color="auto"/>
        <w:right w:val="none" w:sz="0" w:space="0" w:color="auto"/>
      </w:divBdr>
      <w:divsChild>
        <w:div w:id="876354356">
          <w:marLeft w:val="0"/>
          <w:marRight w:val="0"/>
          <w:marTop w:val="0"/>
          <w:marBottom w:val="0"/>
          <w:divBdr>
            <w:top w:val="none" w:sz="0" w:space="0" w:color="auto"/>
            <w:left w:val="none" w:sz="0" w:space="0" w:color="auto"/>
            <w:bottom w:val="none" w:sz="0" w:space="0" w:color="auto"/>
            <w:right w:val="none" w:sz="0" w:space="0" w:color="auto"/>
          </w:divBdr>
        </w:div>
      </w:divsChild>
    </w:div>
    <w:div w:id="658774125">
      <w:bodyDiv w:val="1"/>
      <w:marLeft w:val="0"/>
      <w:marRight w:val="0"/>
      <w:marTop w:val="0"/>
      <w:marBottom w:val="0"/>
      <w:divBdr>
        <w:top w:val="none" w:sz="0" w:space="0" w:color="auto"/>
        <w:left w:val="none" w:sz="0" w:space="0" w:color="auto"/>
        <w:bottom w:val="none" w:sz="0" w:space="0" w:color="auto"/>
        <w:right w:val="none" w:sz="0" w:space="0" w:color="auto"/>
      </w:divBdr>
      <w:divsChild>
        <w:div w:id="905411257">
          <w:marLeft w:val="0"/>
          <w:marRight w:val="0"/>
          <w:marTop w:val="0"/>
          <w:marBottom w:val="0"/>
          <w:divBdr>
            <w:top w:val="none" w:sz="0" w:space="0" w:color="auto"/>
            <w:left w:val="none" w:sz="0" w:space="0" w:color="auto"/>
            <w:bottom w:val="none" w:sz="0" w:space="0" w:color="auto"/>
            <w:right w:val="none" w:sz="0" w:space="0" w:color="auto"/>
          </w:divBdr>
          <w:divsChild>
            <w:div w:id="1523547486">
              <w:marLeft w:val="0"/>
              <w:marRight w:val="0"/>
              <w:marTop w:val="0"/>
              <w:marBottom w:val="0"/>
              <w:divBdr>
                <w:top w:val="none" w:sz="0" w:space="0" w:color="auto"/>
                <w:left w:val="none" w:sz="0" w:space="0" w:color="auto"/>
                <w:bottom w:val="none" w:sz="0" w:space="0" w:color="auto"/>
                <w:right w:val="none" w:sz="0" w:space="0" w:color="auto"/>
              </w:divBdr>
              <w:divsChild>
                <w:div w:id="1944412059">
                  <w:marLeft w:val="0"/>
                  <w:marRight w:val="0"/>
                  <w:marTop w:val="0"/>
                  <w:marBottom w:val="0"/>
                  <w:divBdr>
                    <w:top w:val="none" w:sz="0" w:space="0" w:color="auto"/>
                    <w:left w:val="none" w:sz="0" w:space="0" w:color="auto"/>
                    <w:bottom w:val="none" w:sz="0" w:space="0" w:color="auto"/>
                    <w:right w:val="none" w:sz="0" w:space="0" w:color="auto"/>
                  </w:divBdr>
                  <w:divsChild>
                    <w:div w:id="1096243639">
                      <w:marLeft w:val="0"/>
                      <w:marRight w:val="0"/>
                      <w:marTop w:val="0"/>
                      <w:marBottom w:val="0"/>
                      <w:divBdr>
                        <w:top w:val="none" w:sz="0" w:space="0" w:color="auto"/>
                        <w:left w:val="none" w:sz="0" w:space="0" w:color="auto"/>
                        <w:bottom w:val="none" w:sz="0" w:space="0" w:color="auto"/>
                        <w:right w:val="none" w:sz="0" w:space="0" w:color="auto"/>
                      </w:divBdr>
                      <w:divsChild>
                        <w:div w:id="1120802232">
                          <w:marLeft w:val="0"/>
                          <w:marRight w:val="0"/>
                          <w:marTop w:val="0"/>
                          <w:marBottom w:val="0"/>
                          <w:divBdr>
                            <w:top w:val="none" w:sz="0" w:space="0" w:color="auto"/>
                            <w:left w:val="none" w:sz="0" w:space="0" w:color="auto"/>
                            <w:bottom w:val="none" w:sz="0" w:space="0" w:color="auto"/>
                            <w:right w:val="none" w:sz="0" w:space="0" w:color="auto"/>
                          </w:divBdr>
                          <w:divsChild>
                            <w:div w:id="375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289771">
      <w:bodyDiv w:val="1"/>
      <w:marLeft w:val="0"/>
      <w:marRight w:val="0"/>
      <w:marTop w:val="0"/>
      <w:marBottom w:val="0"/>
      <w:divBdr>
        <w:top w:val="none" w:sz="0" w:space="0" w:color="auto"/>
        <w:left w:val="none" w:sz="0" w:space="0" w:color="auto"/>
        <w:bottom w:val="none" w:sz="0" w:space="0" w:color="auto"/>
        <w:right w:val="none" w:sz="0" w:space="0" w:color="auto"/>
      </w:divBdr>
      <w:divsChild>
        <w:div w:id="755789496">
          <w:marLeft w:val="0"/>
          <w:marRight w:val="0"/>
          <w:marTop w:val="0"/>
          <w:marBottom w:val="0"/>
          <w:divBdr>
            <w:top w:val="none" w:sz="0" w:space="0" w:color="auto"/>
            <w:left w:val="none" w:sz="0" w:space="0" w:color="auto"/>
            <w:bottom w:val="none" w:sz="0" w:space="0" w:color="auto"/>
            <w:right w:val="none" w:sz="0" w:space="0" w:color="auto"/>
          </w:divBdr>
        </w:div>
      </w:divsChild>
    </w:div>
    <w:div w:id="734551917">
      <w:bodyDiv w:val="1"/>
      <w:marLeft w:val="0"/>
      <w:marRight w:val="0"/>
      <w:marTop w:val="0"/>
      <w:marBottom w:val="0"/>
      <w:divBdr>
        <w:top w:val="none" w:sz="0" w:space="0" w:color="auto"/>
        <w:left w:val="none" w:sz="0" w:space="0" w:color="auto"/>
        <w:bottom w:val="none" w:sz="0" w:space="0" w:color="auto"/>
        <w:right w:val="none" w:sz="0" w:space="0" w:color="auto"/>
      </w:divBdr>
      <w:divsChild>
        <w:div w:id="18825115">
          <w:marLeft w:val="0"/>
          <w:marRight w:val="0"/>
          <w:marTop w:val="0"/>
          <w:marBottom w:val="0"/>
          <w:divBdr>
            <w:top w:val="none" w:sz="0" w:space="0" w:color="auto"/>
            <w:left w:val="none" w:sz="0" w:space="0" w:color="auto"/>
            <w:bottom w:val="none" w:sz="0" w:space="0" w:color="auto"/>
            <w:right w:val="none" w:sz="0" w:space="0" w:color="auto"/>
          </w:divBdr>
        </w:div>
      </w:divsChild>
    </w:div>
    <w:div w:id="768961889">
      <w:bodyDiv w:val="1"/>
      <w:marLeft w:val="0"/>
      <w:marRight w:val="0"/>
      <w:marTop w:val="0"/>
      <w:marBottom w:val="0"/>
      <w:divBdr>
        <w:top w:val="none" w:sz="0" w:space="0" w:color="auto"/>
        <w:left w:val="none" w:sz="0" w:space="0" w:color="auto"/>
        <w:bottom w:val="none" w:sz="0" w:space="0" w:color="auto"/>
        <w:right w:val="none" w:sz="0" w:space="0" w:color="auto"/>
      </w:divBdr>
    </w:div>
    <w:div w:id="844251387">
      <w:bodyDiv w:val="1"/>
      <w:marLeft w:val="0"/>
      <w:marRight w:val="0"/>
      <w:marTop w:val="0"/>
      <w:marBottom w:val="0"/>
      <w:divBdr>
        <w:top w:val="none" w:sz="0" w:space="0" w:color="auto"/>
        <w:left w:val="none" w:sz="0" w:space="0" w:color="auto"/>
        <w:bottom w:val="none" w:sz="0" w:space="0" w:color="auto"/>
        <w:right w:val="none" w:sz="0" w:space="0" w:color="auto"/>
      </w:divBdr>
    </w:div>
    <w:div w:id="851996028">
      <w:bodyDiv w:val="1"/>
      <w:marLeft w:val="0"/>
      <w:marRight w:val="0"/>
      <w:marTop w:val="0"/>
      <w:marBottom w:val="0"/>
      <w:divBdr>
        <w:top w:val="none" w:sz="0" w:space="0" w:color="auto"/>
        <w:left w:val="none" w:sz="0" w:space="0" w:color="auto"/>
        <w:bottom w:val="none" w:sz="0" w:space="0" w:color="auto"/>
        <w:right w:val="none" w:sz="0" w:space="0" w:color="auto"/>
      </w:divBdr>
      <w:divsChild>
        <w:div w:id="1818918412">
          <w:marLeft w:val="0"/>
          <w:marRight w:val="0"/>
          <w:marTop w:val="0"/>
          <w:marBottom w:val="0"/>
          <w:divBdr>
            <w:top w:val="none" w:sz="0" w:space="0" w:color="auto"/>
            <w:left w:val="none" w:sz="0" w:space="0" w:color="auto"/>
            <w:bottom w:val="none" w:sz="0" w:space="0" w:color="auto"/>
            <w:right w:val="none" w:sz="0" w:space="0" w:color="auto"/>
          </w:divBdr>
        </w:div>
      </w:divsChild>
    </w:div>
    <w:div w:id="971784659">
      <w:bodyDiv w:val="1"/>
      <w:marLeft w:val="0"/>
      <w:marRight w:val="0"/>
      <w:marTop w:val="0"/>
      <w:marBottom w:val="0"/>
      <w:divBdr>
        <w:top w:val="none" w:sz="0" w:space="0" w:color="auto"/>
        <w:left w:val="none" w:sz="0" w:space="0" w:color="auto"/>
        <w:bottom w:val="none" w:sz="0" w:space="0" w:color="auto"/>
        <w:right w:val="none" w:sz="0" w:space="0" w:color="auto"/>
      </w:divBdr>
    </w:div>
    <w:div w:id="1061102137">
      <w:bodyDiv w:val="1"/>
      <w:marLeft w:val="0"/>
      <w:marRight w:val="0"/>
      <w:marTop w:val="0"/>
      <w:marBottom w:val="0"/>
      <w:divBdr>
        <w:top w:val="none" w:sz="0" w:space="0" w:color="auto"/>
        <w:left w:val="none" w:sz="0" w:space="0" w:color="auto"/>
        <w:bottom w:val="none" w:sz="0" w:space="0" w:color="auto"/>
        <w:right w:val="none" w:sz="0" w:space="0" w:color="auto"/>
      </w:divBdr>
    </w:div>
    <w:div w:id="1178079066">
      <w:bodyDiv w:val="1"/>
      <w:marLeft w:val="0"/>
      <w:marRight w:val="0"/>
      <w:marTop w:val="0"/>
      <w:marBottom w:val="0"/>
      <w:divBdr>
        <w:top w:val="none" w:sz="0" w:space="0" w:color="auto"/>
        <w:left w:val="none" w:sz="0" w:space="0" w:color="auto"/>
        <w:bottom w:val="none" w:sz="0" w:space="0" w:color="auto"/>
        <w:right w:val="none" w:sz="0" w:space="0" w:color="auto"/>
      </w:divBdr>
      <w:divsChild>
        <w:div w:id="944463020">
          <w:marLeft w:val="0"/>
          <w:marRight w:val="0"/>
          <w:marTop w:val="0"/>
          <w:marBottom w:val="0"/>
          <w:divBdr>
            <w:top w:val="none" w:sz="0" w:space="0" w:color="auto"/>
            <w:left w:val="none" w:sz="0" w:space="0" w:color="auto"/>
            <w:bottom w:val="none" w:sz="0" w:space="0" w:color="auto"/>
            <w:right w:val="none" w:sz="0" w:space="0" w:color="auto"/>
          </w:divBdr>
        </w:div>
      </w:divsChild>
    </w:div>
    <w:div w:id="1291664273">
      <w:bodyDiv w:val="1"/>
      <w:marLeft w:val="0"/>
      <w:marRight w:val="0"/>
      <w:marTop w:val="0"/>
      <w:marBottom w:val="0"/>
      <w:divBdr>
        <w:top w:val="none" w:sz="0" w:space="0" w:color="auto"/>
        <w:left w:val="none" w:sz="0" w:space="0" w:color="auto"/>
        <w:bottom w:val="none" w:sz="0" w:space="0" w:color="auto"/>
        <w:right w:val="none" w:sz="0" w:space="0" w:color="auto"/>
      </w:divBdr>
    </w:div>
    <w:div w:id="1471315906">
      <w:bodyDiv w:val="1"/>
      <w:marLeft w:val="0"/>
      <w:marRight w:val="0"/>
      <w:marTop w:val="0"/>
      <w:marBottom w:val="0"/>
      <w:divBdr>
        <w:top w:val="none" w:sz="0" w:space="0" w:color="auto"/>
        <w:left w:val="none" w:sz="0" w:space="0" w:color="auto"/>
        <w:bottom w:val="none" w:sz="0" w:space="0" w:color="auto"/>
        <w:right w:val="none" w:sz="0" w:space="0" w:color="auto"/>
      </w:divBdr>
      <w:divsChild>
        <w:div w:id="343096847">
          <w:marLeft w:val="0"/>
          <w:marRight w:val="0"/>
          <w:marTop w:val="0"/>
          <w:marBottom w:val="0"/>
          <w:divBdr>
            <w:top w:val="none" w:sz="0" w:space="0" w:color="auto"/>
            <w:left w:val="none" w:sz="0" w:space="0" w:color="auto"/>
            <w:bottom w:val="none" w:sz="0" w:space="0" w:color="auto"/>
            <w:right w:val="none" w:sz="0" w:space="0" w:color="auto"/>
          </w:divBdr>
        </w:div>
      </w:divsChild>
    </w:div>
    <w:div w:id="1754428944">
      <w:bodyDiv w:val="1"/>
      <w:marLeft w:val="0"/>
      <w:marRight w:val="0"/>
      <w:marTop w:val="0"/>
      <w:marBottom w:val="0"/>
      <w:divBdr>
        <w:top w:val="none" w:sz="0" w:space="0" w:color="auto"/>
        <w:left w:val="none" w:sz="0" w:space="0" w:color="auto"/>
        <w:bottom w:val="none" w:sz="0" w:space="0" w:color="auto"/>
        <w:right w:val="none" w:sz="0" w:space="0" w:color="auto"/>
      </w:divBdr>
      <w:divsChild>
        <w:div w:id="1045177369">
          <w:marLeft w:val="0"/>
          <w:marRight w:val="0"/>
          <w:marTop w:val="0"/>
          <w:marBottom w:val="0"/>
          <w:divBdr>
            <w:top w:val="none" w:sz="0" w:space="0" w:color="auto"/>
            <w:left w:val="none" w:sz="0" w:space="0" w:color="auto"/>
            <w:bottom w:val="none" w:sz="0" w:space="0" w:color="auto"/>
            <w:right w:val="none" w:sz="0" w:space="0" w:color="auto"/>
          </w:divBdr>
        </w:div>
      </w:divsChild>
    </w:div>
    <w:div w:id="1756979643">
      <w:bodyDiv w:val="1"/>
      <w:marLeft w:val="0"/>
      <w:marRight w:val="0"/>
      <w:marTop w:val="0"/>
      <w:marBottom w:val="0"/>
      <w:divBdr>
        <w:top w:val="none" w:sz="0" w:space="0" w:color="auto"/>
        <w:left w:val="none" w:sz="0" w:space="0" w:color="auto"/>
        <w:bottom w:val="none" w:sz="0" w:space="0" w:color="auto"/>
        <w:right w:val="none" w:sz="0" w:space="0" w:color="auto"/>
      </w:divBdr>
      <w:divsChild>
        <w:div w:id="2077779267">
          <w:marLeft w:val="0"/>
          <w:marRight w:val="0"/>
          <w:marTop w:val="0"/>
          <w:marBottom w:val="0"/>
          <w:divBdr>
            <w:top w:val="none" w:sz="0" w:space="0" w:color="auto"/>
            <w:left w:val="none" w:sz="0" w:space="0" w:color="auto"/>
            <w:bottom w:val="none" w:sz="0" w:space="0" w:color="auto"/>
            <w:right w:val="none" w:sz="0" w:space="0" w:color="auto"/>
          </w:divBdr>
        </w:div>
      </w:divsChild>
    </w:div>
    <w:div w:id="1968050646">
      <w:bodyDiv w:val="1"/>
      <w:marLeft w:val="0"/>
      <w:marRight w:val="0"/>
      <w:marTop w:val="0"/>
      <w:marBottom w:val="0"/>
      <w:divBdr>
        <w:top w:val="none" w:sz="0" w:space="0" w:color="auto"/>
        <w:left w:val="none" w:sz="0" w:space="0" w:color="auto"/>
        <w:bottom w:val="none" w:sz="0" w:space="0" w:color="auto"/>
        <w:right w:val="none" w:sz="0" w:space="0" w:color="auto"/>
      </w:divBdr>
      <w:divsChild>
        <w:div w:id="1054617803">
          <w:marLeft w:val="0"/>
          <w:marRight w:val="0"/>
          <w:marTop w:val="0"/>
          <w:marBottom w:val="0"/>
          <w:divBdr>
            <w:top w:val="none" w:sz="0" w:space="0" w:color="auto"/>
            <w:left w:val="none" w:sz="0" w:space="0" w:color="auto"/>
            <w:bottom w:val="none" w:sz="0" w:space="0" w:color="auto"/>
            <w:right w:val="none" w:sz="0" w:space="0" w:color="auto"/>
          </w:divBdr>
        </w:div>
      </w:divsChild>
    </w:div>
    <w:div w:id="208687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eck-online.beck.de/?typ=reference&amp;y=100&amp;g=ZPO&amp;p=128A"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5DFC-B4E8-4D6A-A689-2D87FF9FE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670</Words>
  <Characters>4228</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4889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Kira Schneider</dc:creator>
  <cp:keywords/>
  <dc:description/>
  <cp:lastModifiedBy>s318323</cp:lastModifiedBy>
  <cp:revision>12</cp:revision>
  <cp:lastPrinted>2021-05-24T17:19:00Z</cp:lastPrinted>
  <dcterms:created xsi:type="dcterms:W3CDTF">2021-07-14T09:30:00Z</dcterms:created>
  <dcterms:modified xsi:type="dcterms:W3CDTF">2021-08-31T09:39:00Z</dcterms:modified>
</cp:coreProperties>
</file>