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7604" w14:textId="14AE5197" w:rsidR="009E4E4F" w:rsidRPr="00371F66" w:rsidRDefault="009E4E4F" w:rsidP="00371F66">
      <w:pPr>
        <w:spacing w:before="100" w:after="100" w:line="252" w:lineRule="auto"/>
        <w:jc w:val="both"/>
        <w:rPr>
          <w:rFonts w:asciiTheme="majorHAnsi" w:hAnsiTheme="majorHAnsi" w:cstheme="majorHAnsi"/>
        </w:rPr>
      </w:pPr>
      <w:r w:rsidRPr="00371F66">
        <w:rPr>
          <w:rFonts w:asciiTheme="majorHAnsi" w:hAnsiTheme="majorHAnsi" w:cstheme="majorHAnsi"/>
          <w:noProof/>
          <w:lang w:eastAsia="de-DE"/>
        </w:rPr>
        <w:drawing>
          <wp:inline distT="0" distB="0" distL="0" distR="0" wp14:anchorId="4D7CC905" wp14:editId="7524F534">
            <wp:extent cx="1587500" cy="374826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840" t="10913" r="14351" b="72222"/>
                    <a:stretch/>
                  </pic:blipFill>
                  <pic:spPr bwMode="auto">
                    <a:xfrm>
                      <a:off x="0" y="0"/>
                      <a:ext cx="1784750" cy="421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F66">
        <w:rPr>
          <w:rFonts w:asciiTheme="majorHAnsi" w:hAnsiTheme="majorHAnsi" w:cstheme="majorHAnsi"/>
        </w:rPr>
        <w:tab/>
      </w:r>
      <w:r w:rsidRPr="00371F66">
        <w:rPr>
          <w:rFonts w:asciiTheme="majorHAnsi" w:hAnsiTheme="majorHAnsi" w:cstheme="majorHAnsi"/>
        </w:rPr>
        <w:tab/>
      </w:r>
      <w:r w:rsidRPr="00371F66">
        <w:rPr>
          <w:rFonts w:asciiTheme="majorHAnsi" w:hAnsiTheme="majorHAnsi" w:cstheme="majorHAnsi"/>
        </w:rPr>
        <w:tab/>
      </w:r>
      <w:r w:rsidR="00F93F20" w:rsidRPr="00371F66">
        <w:rPr>
          <w:rFonts w:asciiTheme="majorHAnsi" w:hAnsiTheme="majorHAnsi" w:cstheme="majorHAnsi"/>
        </w:rPr>
        <w:tab/>
      </w:r>
      <w:r w:rsidR="00371F66">
        <w:rPr>
          <w:rFonts w:asciiTheme="majorHAnsi" w:hAnsiTheme="majorHAnsi" w:cstheme="majorHAnsi"/>
        </w:rPr>
        <w:tab/>
      </w:r>
      <w:r w:rsidR="00371F66">
        <w:rPr>
          <w:rFonts w:asciiTheme="majorHAnsi" w:hAnsiTheme="majorHAnsi" w:cstheme="majorHAnsi"/>
        </w:rPr>
        <w:tab/>
      </w:r>
      <w:r w:rsidR="00371F66">
        <w:rPr>
          <w:rFonts w:asciiTheme="majorHAnsi" w:hAnsiTheme="majorHAnsi" w:cstheme="majorHAnsi"/>
        </w:rPr>
        <w:tab/>
      </w:r>
      <w:r w:rsidRPr="00371F66">
        <w:rPr>
          <w:rFonts w:asciiTheme="majorHAnsi" w:hAnsiTheme="majorHAnsi" w:cstheme="majorHAnsi"/>
          <w:noProof/>
          <w:lang w:eastAsia="de-DE"/>
        </w:rPr>
        <w:drawing>
          <wp:inline distT="0" distB="0" distL="0" distR="0" wp14:anchorId="609BD6AD" wp14:editId="7EC09F57">
            <wp:extent cx="685800" cy="38583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m_EFRE_Bayern_4d4e6d7e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76" cy="44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160E1" w14:textId="77777777" w:rsidR="009E4E4F" w:rsidRPr="00371F66" w:rsidRDefault="009E4E4F" w:rsidP="00CE780A">
      <w:pPr>
        <w:spacing w:before="100" w:after="100" w:line="252" w:lineRule="auto"/>
        <w:ind w:left="6372" w:firstLine="708"/>
        <w:jc w:val="both"/>
        <w:rPr>
          <w:rFonts w:asciiTheme="majorHAnsi" w:hAnsiTheme="majorHAnsi" w:cstheme="majorHAnsi"/>
        </w:rPr>
      </w:pPr>
      <w:r w:rsidRPr="00371F66">
        <w:rPr>
          <w:rFonts w:asciiTheme="majorHAnsi" w:hAnsiTheme="majorHAnsi" w:cstheme="majorHAnsi"/>
          <w:noProof/>
          <w:lang w:eastAsia="de-DE"/>
        </w:rPr>
        <w:drawing>
          <wp:inline distT="0" distB="0" distL="0" distR="0" wp14:anchorId="504408B2" wp14:editId="107BF9AE">
            <wp:extent cx="1328616" cy="3302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RE-Foerderhinwe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11" cy="37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95C1" w14:textId="529C9484" w:rsidR="00042F02" w:rsidRDefault="00790FE6" w:rsidP="00371F66">
      <w:pPr>
        <w:spacing w:before="100" w:after="100" w:line="252" w:lineRule="auto"/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371F66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Digitalisierung im </w:t>
      </w:r>
      <w:r w:rsidR="006E3468">
        <w:rPr>
          <w:rFonts w:asciiTheme="majorHAnsi" w:hAnsiTheme="majorHAnsi" w:cstheme="majorHAnsi"/>
          <w:b/>
          <w:bCs/>
          <w:sz w:val="26"/>
          <w:szCs w:val="26"/>
          <w:u w:val="single"/>
        </w:rPr>
        <w:t>Notariat</w:t>
      </w:r>
    </w:p>
    <w:p w14:paraId="7B450428" w14:textId="77777777" w:rsidR="00CE780A" w:rsidRPr="00371F66" w:rsidRDefault="00CE780A" w:rsidP="00371F66">
      <w:pPr>
        <w:spacing w:before="100" w:after="100" w:line="252" w:lineRule="auto"/>
        <w:jc w:val="center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</w:p>
    <w:p w14:paraId="37961B6B" w14:textId="3E8E105E" w:rsidR="00042F02" w:rsidRPr="000749E9" w:rsidRDefault="00500EBF" w:rsidP="00371F66">
      <w:pPr>
        <w:spacing w:before="100" w:after="100" w:line="252" w:lineRule="auto"/>
        <w:jc w:val="both"/>
        <w:rPr>
          <w:rFonts w:asciiTheme="majorHAnsi" w:hAnsiTheme="majorHAnsi" w:cstheme="majorHAnsi"/>
        </w:rPr>
      </w:pPr>
      <w:r w:rsidRPr="000749E9">
        <w:rPr>
          <w:rFonts w:asciiTheme="majorHAnsi" w:hAnsiTheme="majorHAnsi" w:cstheme="majorHAnsi"/>
        </w:rPr>
        <w:t xml:space="preserve">Für die Gründung einer GmbH bedarf es nach § 2 Abs. 1 GmbHG der notariellen Beurkundung. </w:t>
      </w:r>
      <w:r w:rsidR="00042F02" w:rsidRPr="000749E9">
        <w:rPr>
          <w:rFonts w:asciiTheme="majorHAnsi" w:hAnsiTheme="majorHAnsi" w:cstheme="majorHAnsi"/>
        </w:rPr>
        <w:t xml:space="preserve">Für </w:t>
      </w:r>
      <w:r w:rsidRPr="000749E9">
        <w:rPr>
          <w:rFonts w:asciiTheme="majorHAnsi" w:hAnsiTheme="majorHAnsi" w:cstheme="majorHAnsi"/>
        </w:rPr>
        <w:t>eine</w:t>
      </w:r>
      <w:r w:rsidR="00042F02" w:rsidRPr="000749E9">
        <w:rPr>
          <w:rFonts w:asciiTheme="majorHAnsi" w:hAnsiTheme="majorHAnsi" w:cstheme="majorHAnsi"/>
        </w:rPr>
        <w:t xml:space="preserve"> notarielle Beurkundung ist es nach derzeitiger Rechtslage notwendig</w:t>
      </w:r>
      <w:r w:rsidR="00D408EB" w:rsidRPr="000749E9">
        <w:rPr>
          <w:rFonts w:asciiTheme="majorHAnsi" w:hAnsiTheme="majorHAnsi" w:cstheme="majorHAnsi"/>
        </w:rPr>
        <w:t>,</w:t>
      </w:r>
      <w:r w:rsidR="00042F02" w:rsidRPr="000749E9">
        <w:rPr>
          <w:rFonts w:asciiTheme="majorHAnsi" w:hAnsiTheme="majorHAnsi" w:cstheme="majorHAnsi"/>
        </w:rPr>
        <w:t xml:space="preserve"> persönlich vor dem Notar zu erscheinen</w:t>
      </w:r>
      <w:r w:rsidR="00D408EB" w:rsidRPr="000749E9">
        <w:rPr>
          <w:rFonts w:asciiTheme="majorHAnsi" w:hAnsiTheme="majorHAnsi" w:cstheme="majorHAnsi"/>
        </w:rPr>
        <w:t xml:space="preserve"> und die Beurkundung </w:t>
      </w:r>
      <w:r w:rsidR="00371F66" w:rsidRPr="000749E9">
        <w:rPr>
          <w:rFonts w:asciiTheme="majorHAnsi" w:hAnsiTheme="majorHAnsi" w:cstheme="majorHAnsi"/>
        </w:rPr>
        <w:t>seiner Willenserklärungen</w:t>
      </w:r>
      <w:r w:rsidR="00D408EB" w:rsidRPr="000749E9">
        <w:rPr>
          <w:rFonts w:asciiTheme="majorHAnsi" w:hAnsiTheme="majorHAnsi" w:cstheme="majorHAnsi"/>
        </w:rPr>
        <w:t xml:space="preserve"> vornehmen zu lassen</w:t>
      </w:r>
      <w:r w:rsidR="00790FE6" w:rsidRPr="000749E9">
        <w:rPr>
          <w:rFonts w:asciiTheme="majorHAnsi" w:hAnsiTheme="majorHAnsi" w:cstheme="majorHAnsi"/>
        </w:rPr>
        <w:t xml:space="preserve"> (§ 13</w:t>
      </w:r>
      <w:r w:rsidR="00371F66" w:rsidRPr="000749E9">
        <w:rPr>
          <w:rFonts w:asciiTheme="majorHAnsi" w:hAnsiTheme="majorHAnsi" w:cstheme="majorHAnsi"/>
        </w:rPr>
        <w:t xml:space="preserve"> </w:t>
      </w:r>
      <w:r w:rsidR="00790FE6" w:rsidRPr="000749E9">
        <w:rPr>
          <w:rFonts w:asciiTheme="majorHAnsi" w:hAnsiTheme="majorHAnsi" w:cstheme="majorHAnsi"/>
        </w:rPr>
        <w:t>BeurkG)</w:t>
      </w:r>
      <w:r w:rsidR="00042F02" w:rsidRPr="000749E9">
        <w:rPr>
          <w:rFonts w:asciiTheme="majorHAnsi" w:hAnsiTheme="majorHAnsi" w:cstheme="majorHAnsi"/>
        </w:rPr>
        <w:t xml:space="preserve">. Eine Beurkundung über Fernkommunikationsmittel </w:t>
      </w:r>
      <w:r w:rsidR="00656041">
        <w:rPr>
          <w:rFonts w:asciiTheme="majorHAnsi" w:hAnsiTheme="majorHAnsi" w:cstheme="majorHAnsi"/>
        </w:rPr>
        <w:t>ist grundsätzlich</w:t>
      </w:r>
      <w:r w:rsidR="00042F02" w:rsidRPr="000749E9">
        <w:rPr>
          <w:rFonts w:asciiTheme="majorHAnsi" w:hAnsiTheme="majorHAnsi" w:cstheme="majorHAnsi"/>
        </w:rPr>
        <w:t xml:space="preserve"> nicht möglich. </w:t>
      </w:r>
      <w:r w:rsidR="00AE5CDC">
        <w:rPr>
          <w:rFonts w:asciiTheme="majorHAnsi" w:hAnsiTheme="majorHAnsi" w:cstheme="majorHAnsi"/>
        </w:rPr>
        <w:t>Auch f</w:t>
      </w:r>
      <w:r w:rsidR="00A12A69">
        <w:rPr>
          <w:rFonts w:asciiTheme="majorHAnsi" w:hAnsiTheme="majorHAnsi" w:cstheme="majorHAnsi"/>
        </w:rPr>
        <w:t xml:space="preserve">ür die </w:t>
      </w:r>
      <w:r w:rsidR="00AE5CDC">
        <w:rPr>
          <w:rFonts w:asciiTheme="majorHAnsi" w:hAnsiTheme="majorHAnsi" w:cstheme="majorHAnsi"/>
        </w:rPr>
        <w:t>öffentliche</w:t>
      </w:r>
      <w:r w:rsidR="00A12A69">
        <w:rPr>
          <w:rFonts w:asciiTheme="majorHAnsi" w:hAnsiTheme="majorHAnsi" w:cstheme="majorHAnsi"/>
        </w:rPr>
        <w:t xml:space="preserve"> Beglaubigung</w:t>
      </w:r>
      <w:r w:rsidR="00AE5CDC">
        <w:rPr>
          <w:rFonts w:asciiTheme="majorHAnsi" w:hAnsiTheme="majorHAnsi" w:cstheme="majorHAnsi"/>
        </w:rPr>
        <w:t xml:space="preserve">, </w:t>
      </w:r>
      <w:r w:rsidR="00AE5CDC" w:rsidRPr="00AE5CDC">
        <w:rPr>
          <w:rFonts w:asciiTheme="majorHAnsi" w:hAnsiTheme="majorHAnsi" w:cstheme="majorHAnsi"/>
        </w:rPr>
        <w:t>welche die Echtheit von Unterschriften und Abschriften bestätigt</w:t>
      </w:r>
      <w:r w:rsidR="00AE5CDC">
        <w:rPr>
          <w:rFonts w:asciiTheme="majorHAnsi" w:hAnsiTheme="majorHAnsi" w:cstheme="majorHAnsi"/>
        </w:rPr>
        <w:t>,</w:t>
      </w:r>
      <w:r w:rsidR="00A12A69">
        <w:rPr>
          <w:rFonts w:asciiTheme="majorHAnsi" w:hAnsiTheme="majorHAnsi" w:cstheme="majorHAnsi"/>
        </w:rPr>
        <w:t xml:space="preserve"> ist </w:t>
      </w:r>
      <w:r w:rsidR="00AE5CDC" w:rsidRPr="00AE5CDC">
        <w:rPr>
          <w:rFonts w:asciiTheme="majorHAnsi" w:hAnsiTheme="majorHAnsi" w:cstheme="majorHAnsi"/>
        </w:rPr>
        <w:t xml:space="preserve">die </w:t>
      </w:r>
      <w:r w:rsidR="00AE5CDC">
        <w:rPr>
          <w:rFonts w:asciiTheme="majorHAnsi" w:hAnsiTheme="majorHAnsi" w:cstheme="majorHAnsi"/>
        </w:rPr>
        <w:t xml:space="preserve">handschriftliche </w:t>
      </w:r>
      <w:r w:rsidR="00AE5CDC" w:rsidRPr="00AE5CDC">
        <w:rPr>
          <w:rFonts w:asciiTheme="majorHAnsi" w:hAnsiTheme="majorHAnsi" w:cstheme="majorHAnsi"/>
        </w:rPr>
        <w:t>Unterschrift in Gegenwart des Notars</w:t>
      </w:r>
      <w:r w:rsidR="00A12A69">
        <w:rPr>
          <w:rFonts w:asciiTheme="majorHAnsi" w:hAnsiTheme="majorHAnsi" w:cstheme="majorHAnsi"/>
        </w:rPr>
        <w:t xml:space="preserve"> erforderlich</w:t>
      </w:r>
      <w:r w:rsidR="00AE5CDC">
        <w:rPr>
          <w:rFonts w:asciiTheme="majorHAnsi" w:hAnsiTheme="majorHAnsi" w:cstheme="majorHAnsi"/>
        </w:rPr>
        <w:t xml:space="preserve"> (§§ 40 ff. BeurkG)</w:t>
      </w:r>
      <w:r w:rsidR="00A12A69">
        <w:rPr>
          <w:rFonts w:asciiTheme="majorHAnsi" w:hAnsiTheme="majorHAnsi" w:cstheme="majorHAnsi"/>
        </w:rPr>
        <w:t>.</w:t>
      </w:r>
      <w:r w:rsidR="00AE5CDC">
        <w:rPr>
          <w:rStyle w:val="Funotenzeichen"/>
          <w:rFonts w:asciiTheme="majorHAnsi" w:hAnsiTheme="majorHAnsi" w:cstheme="majorHAnsi"/>
        </w:rPr>
        <w:footnoteReference w:id="1"/>
      </w:r>
      <w:r w:rsidR="00A12A69">
        <w:rPr>
          <w:rFonts w:asciiTheme="majorHAnsi" w:hAnsiTheme="majorHAnsi" w:cstheme="majorHAnsi"/>
        </w:rPr>
        <w:t xml:space="preserve"> </w:t>
      </w:r>
      <w:r w:rsidR="00AE5CDC">
        <w:rPr>
          <w:rFonts w:asciiTheme="majorHAnsi" w:hAnsiTheme="majorHAnsi" w:cstheme="majorHAnsi"/>
        </w:rPr>
        <w:t>Einer öffentlichen Beglaubigung bedarf es beispielsweise bei</w:t>
      </w:r>
      <w:r w:rsidR="00AE5CDC" w:rsidRPr="000749E9">
        <w:rPr>
          <w:rFonts w:asciiTheme="majorHAnsi" w:hAnsiTheme="majorHAnsi" w:cstheme="majorHAnsi"/>
        </w:rPr>
        <w:t xml:space="preserve"> </w:t>
      </w:r>
      <w:r w:rsidR="00AE5CDC">
        <w:rPr>
          <w:rFonts w:asciiTheme="majorHAnsi" w:hAnsiTheme="majorHAnsi" w:cstheme="majorHAnsi"/>
        </w:rPr>
        <w:t xml:space="preserve">der </w:t>
      </w:r>
      <w:r w:rsidR="00AE5CDC" w:rsidRPr="000749E9">
        <w:rPr>
          <w:rFonts w:asciiTheme="majorHAnsi" w:hAnsiTheme="majorHAnsi" w:cstheme="majorHAnsi"/>
        </w:rPr>
        <w:t xml:space="preserve">Anmeldung </w:t>
      </w:r>
      <w:r w:rsidR="00AE5CDC">
        <w:rPr>
          <w:rFonts w:asciiTheme="majorHAnsi" w:hAnsiTheme="majorHAnsi" w:cstheme="majorHAnsi"/>
        </w:rPr>
        <w:t>e</w:t>
      </w:r>
      <w:r w:rsidR="00AE5CDC" w:rsidRPr="00A12A69">
        <w:rPr>
          <w:rFonts w:asciiTheme="majorHAnsi" w:hAnsiTheme="majorHAnsi" w:cstheme="majorHAnsi"/>
        </w:rPr>
        <w:t>intragungspflichtige</w:t>
      </w:r>
      <w:r w:rsidR="00AE5CDC">
        <w:rPr>
          <w:rFonts w:asciiTheme="majorHAnsi" w:hAnsiTheme="majorHAnsi" w:cstheme="majorHAnsi"/>
        </w:rPr>
        <w:t>r</w:t>
      </w:r>
      <w:r w:rsidR="00AE5CDC" w:rsidRPr="00A12A69">
        <w:rPr>
          <w:rFonts w:asciiTheme="majorHAnsi" w:hAnsiTheme="majorHAnsi" w:cstheme="majorHAnsi"/>
        </w:rPr>
        <w:t xml:space="preserve"> Tatsachen beim Handelsregister</w:t>
      </w:r>
      <w:r w:rsidR="00AE5CDC" w:rsidRPr="000749E9">
        <w:rPr>
          <w:rFonts w:asciiTheme="majorHAnsi" w:hAnsiTheme="majorHAnsi" w:cstheme="majorHAnsi"/>
        </w:rPr>
        <w:t xml:space="preserve">. </w:t>
      </w:r>
      <w:r w:rsidR="00547EBF" w:rsidRPr="000749E9">
        <w:rPr>
          <w:rFonts w:asciiTheme="majorHAnsi" w:hAnsiTheme="majorHAnsi" w:cstheme="majorHAnsi"/>
        </w:rPr>
        <w:t xml:space="preserve">Um </w:t>
      </w:r>
      <w:r w:rsidR="00371F66" w:rsidRPr="000749E9">
        <w:rPr>
          <w:rFonts w:asciiTheme="majorHAnsi" w:hAnsiTheme="majorHAnsi" w:cstheme="majorHAnsi"/>
        </w:rPr>
        <w:t>die</w:t>
      </w:r>
      <w:r w:rsidR="00547EBF" w:rsidRPr="000749E9">
        <w:rPr>
          <w:rFonts w:asciiTheme="majorHAnsi" w:hAnsiTheme="majorHAnsi" w:cstheme="majorHAnsi"/>
        </w:rPr>
        <w:t xml:space="preserve"> Verfahren zu vereinfachen und ein</w:t>
      </w:r>
      <w:r w:rsidR="00F23A25" w:rsidRPr="000749E9">
        <w:rPr>
          <w:rFonts w:asciiTheme="majorHAnsi" w:hAnsiTheme="majorHAnsi" w:cstheme="majorHAnsi"/>
        </w:rPr>
        <w:t xml:space="preserve"> persönliches</w:t>
      </w:r>
      <w:r w:rsidR="00547EBF" w:rsidRPr="000749E9">
        <w:rPr>
          <w:rFonts w:asciiTheme="majorHAnsi" w:hAnsiTheme="majorHAnsi" w:cstheme="majorHAnsi"/>
        </w:rPr>
        <w:t xml:space="preserve"> Erscheinen vor dem Notar entbehrlich zu machen</w:t>
      </w:r>
      <w:r w:rsidRPr="000749E9">
        <w:rPr>
          <w:rFonts w:asciiTheme="majorHAnsi" w:hAnsiTheme="majorHAnsi" w:cstheme="majorHAnsi"/>
        </w:rPr>
        <w:t>,</w:t>
      </w:r>
      <w:r w:rsidR="00547EBF" w:rsidRPr="000749E9">
        <w:rPr>
          <w:rFonts w:asciiTheme="majorHAnsi" w:hAnsiTheme="majorHAnsi" w:cstheme="majorHAnsi"/>
        </w:rPr>
        <w:t xml:space="preserve"> verabschiedete das Europäische Parlament die Richtlinien (EU) 2019/1151 zum Einsatz digitaler Werkzeuge und Verfahren im Gesellschaftsrecht.</w:t>
      </w:r>
      <w:r w:rsidRPr="000749E9">
        <w:rPr>
          <w:rStyle w:val="Funotenzeichen"/>
          <w:rFonts w:asciiTheme="majorHAnsi" w:hAnsiTheme="majorHAnsi" w:cstheme="majorHAnsi"/>
        </w:rPr>
        <w:footnoteReference w:id="2"/>
      </w:r>
      <w:r w:rsidR="00547EBF" w:rsidRPr="000749E9">
        <w:rPr>
          <w:rFonts w:asciiTheme="majorHAnsi" w:hAnsiTheme="majorHAnsi" w:cstheme="majorHAnsi"/>
        </w:rPr>
        <w:t xml:space="preserve"> Diese ist bis spätestens 1. August 2022 in nationales Recht umzusetzen. Dafür </w:t>
      </w:r>
      <w:r w:rsidRPr="000749E9">
        <w:rPr>
          <w:rFonts w:asciiTheme="majorHAnsi" w:hAnsiTheme="majorHAnsi" w:cstheme="majorHAnsi"/>
        </w:rPr>
        <w:t>hat das Bun</w:t>
      </w:r>
      <w:r w:rsidRPr="000749E9">
        <w:rPr>
          <w:rFonts w:asciiTheme="majorHAnsi" w:hAnsiTheme="majorHAnsi" w:cstheme="majorHAnsi"/>
        </w:rPr>
        <w:softHyphen/>
        <w:t>des</w:t>
      </w:r>
      <w:r w:rsidRPr="000749E9">
        <w:rPr>
          <w:rFonts w:asciiTheme="majorHAnsi" w:hAnsiTheme="majorHAnsi" w:cstheme="majorHAnsi"/>
        </w:rPr>
        <w:softHyphen/>
        <w:t>ka</w:t>
      </w:r>
      <w:r w:rsidRPr="000749E9">
        <w:rPr>
          <w:rFonts w:asciiTheme="majorHAnsi" w:hAnsiTheme="majorHAnsi" w:cstheme="majorHAnsi"/>
        </w:rPr>
        <w:softHyphen/>
        <w:t>bi</w:t>
      </w:r>
      <w:r w:rsidRPr="000749E9">
        <w:rPr>
          <w:rFonts w:asciiTheme="majorHAnsi" w:hAnsiTheme="majorHAnsi" w:cstheme="majorHAnsi"/>
        </w:rPr>
        <w:softHyphen/>
        <w:t>nett den Ent</w:t>
      </w:r>
      <w:r w:rsidRPr="000749E9">
        <w:rPr>
          <w:rFonts w:asciiTheme="majorHAnsi" w:hAnsiTheme="majorHAnsi" w:cstheme="majorHAnsi"/>
        </w:rPr>
        <w:softHyphen/>
        <w:t>wurf eines Ge</w:t>
      </w:r>
      <w:r w:rsidRPr="000749E9">
        <w:rPr>
          <w:rFonts w:asciiTheme="majorHAnsi" w:hAnsiTheme="majorHAnsi" w:cstheme="majorHAnsi"/>
        </w:rPr>
        <w:softHyphen/>
        <w:t>set</w:t>
      </w:r>
      <w:r w:rsidRPr="000749E9">
        <w:rPr>
          <w:rFonts w:asciiTheme="majorHAnsi" w:hAnsiTheme="majorHAnsi" w:cstheme="majorHAnsi"/>
        </w:rPr>
        <w:softHyphen/>
        <w:t>zes zur Um</w:t>
      </w:r>
      <w:r w:rsidRPr="000749E9">
        <w:rPr>
          <w:rFonts w:asciiTheme="majorHAnsi" w:hAnsiTheme="majorHAnsi" w:cstheme="majorHAnsi"/>
        </w:rPr>
        <w:softHyphen/>
        <w:t>set</w:t>
      </w:r>
      <w:r w:rsidRPr="000749E9">
        <w:rPr>
          <w:rFonts w:asciiTheme="majorHAnsi" w:hAnsiTheme="majorHAnsi" w:cstheme="majorHAnsi"/>
        </w:rPr>
        <w:softHyphen/>
        <w:t>zung der Di</w:t>
      </w:r>
      <w:r w:rsidRPr="000749E9">
        <w:rPr>
          <w:rFonts w:asciiTheme="majorHAnsi" w:hAnsiTheme="majorHAnsi" w:cstheme="majorHAnsi"/>
        </w:rPr>
        <w:softHyphen/>
        <w:t>gi</w:t>
      </w:r>
      <w:r w:rsidRPr="000749E9">
        <w:rPr>
          <w:rFonts w:asciiTheme="majorHAnsi" w:hAnsiTheme="majorHAnsi" w:cstheme="majorHAnsi"/>
        </w:rPr>
        <w:softHyphen/>
        <w:t>ta</w:t>
      </w:r>
      <w:r w:rsidRPr="000749E9">
        <w:rPr>
          <w:rFonts w:asciiTheme="majorHAnsi" w:hAnsiTheme="majorHAnsi" w:cstheme="majorHAnsi"/>
        </w:rPr>
        <w:softHyphen/>
        <w:t>li</w:t>
      </w:r>
      <w:r w:rsidRPr="000749E9">
        <w:rPr>
          <w:rFonts w:asciiTheme="majorHAnsi" w:hAnsiTheme="majorHAnsi" w:cstheme="majorHAnsi"/>
        </w:rPr>
        <w:softHyphen/>
        <w:t>sie</w:t>
      </w:r>
      <w:r w:rsidRPr="000749E9">
        <w:rPr>
          <w:rFonts w:asciiTheme="majorHAnsi" w:hAnsiTheme="majorHAnsi" w:cstheme="majorHAnsi"/>
        </w:rPr>
        <w:softHyphen/>
        <w:t>rungs</w:t>
      </w:r>
      <w:r w:rsidRPr="000749E9">
        <w:rPr>
          <w:rFonts w:asciiTheme="majorHAnsi" w:hAnsiTheme="majorHAnsi" w:cstheme="majorHAnsi"/>
        </w:rPr>
        <w:softHyphen/>
        <w:t>richt</w:t>
      </w:r>
      <w:r w:rsidRPr="000749E9">
        <w:rPr>
          <w:rFonts w:asciiTheme="majorHAnsi" w:hAnsiTheme="majorHAnsi" w:cstheme="majorHAnsi"/>
        </w:rPr>
        <w:softHyphen/>
        <w:t>li</w:t>
      </w:r>
      <w:r w:rsidRPr="000749E9">
        <w:rPr>
          <w:rFonts w:asciiTheme="majorHAnsi" w:hAnsiTheme="majorHAnsi" w:cstheme="majorHAnsi"/>
        </w:rPr>
        <w:softHyphen/>
        <w:t>nie (</w:t>
      </w:r>
      <w:proofErr w:type="spellStart"/>
      <w:r w:rsidRPr="000749E9">
        <w:rPr>
          <w:rFonts w:asciiTheme="majorHAnsi" w:hAnsiTheme="majorHAnsi" w:cstheme="majorHAnsi"/>
        </w:rPr>
        <w:t>DiRUG</w:t>
      </w:r>
      <w:proofErr w:type="spellEnd"/>
      <w:r w:rsidRPr="000749E9">
        <w:rPr>
          <w:rFonts w:asciiTheme="majorHAnsi" w:hAnsiTheme="majorHAnsi" w:cstheme="majorHAnsi"/>
        </w:rPr>
        <w:t>) ver</w:t>
      </w:r>
      <w:r w:rsidRPr="000749E9">
        <w:rPr>
          <w:rFonts w:asciiTheme="majorHAnsi" w:hAnsiTheme="majorHAnsi" w:cstheme="majorHAnsi"/>
        </w:rPr>
        <w:softHyphen/>
        <w:t>ab</w:t>
      </w:r>
      <w:r w:rsidRPr="000749E9">
        <w:rPr>
          <w:rFonts w:asciiTheme="majorHAnsi" w:hAnsiTheme="majorHAnsi" w:cstheme="majorHAnsi"/>
        </w:rPr>
        <w:softHyphen/>
        <w:t>schiedet.</w:t>
      </w:r>
    </w:p>
    <w:p w14:paraId="0523ABD3" w14:textId="77777777" w:rsidR="00CE780A" w:rsidRPr="000749E9" w:rsidRDefault="00CE780A" w:rsidP="00371F66">
      <w:pPr>
        <w:spacing w:before="100" w:after="100" w:line="252" w:lineRule="auto"/>
        <w:jc w:val="both"/>
        <w:rPr>
          <w:rFonts w:asciiTheme="majorHAnsi" w:hAnsiTheme="majorHAnsi" w:cstheme="majorHAnsi"/>
        </w:rPr>
      </w:pPr>
    </w:p>
    <w:p w14:paraId="1123AE4E" w14:textId="484C1320" w:rsidR="00FE1D92" w:rsidRPr="000749E9" w:rsidRDefault="00FE1D92" w:rsidP="00371F66">
      <w:pPr>
        <w:spacing w:before="100" w:after="100" w:line="252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0749E9">
        <w:rPr>
          <w:rFonts w:asciiTheme="majorHAnsi" w:hAnsiTheme="majorHAnsi" w:cstheme="majorHAnsi"/>
          <w:b/>
          <w:bCs/>
          <w:u w:val="single"/>
        </w:rPr>
        <w:t>Entwurf</w:t>
      </w:r>
    </w:p>
    <w:p w14:paraId="29D11CAB" w14:textId="6B16CE5F" w:rsidR="000749E9" w:rsidRPr="000749E9" w:rsidRDefault="00042F02" w:rsidP="00B65FFE">
      <w:pPr>
        <w:spacing w:before="100" w:after="100" w:line="252" w:lineRule="auto"/>
        <w:jc w:val="both"/>
        <w:rPr>
          <w:rFonts w:asciiTheme="majorHAnsi" w:hAnsiTheme="majorHAnsi" w:cstheme="majorHAnsi"/>
        </w:rPr>
      </w:pPr>
      <w:r w:rsidRPr="000749E9">
        <w:rPr>
          <w:rFonts w:asciiTheme="majorHAnsi" w:hAnsiTheme="majorHAnsi" w:cstheme="majorHAnsi"/>
        </w:rPr>
        <w:t>Um die Online-Gründung einer GmbH zu ermöglichen, sollen nach den Plänen der Bundesregierung die gesetzlichen Rahmenbedingungen für die Vornahme virtueller notarieller Beurkundungen und</w:t>
      </w:r>
      <w:r w:rsidR="00AE5CDC">
        <w:rPr>
          <w:rFonts w:asciiTheme="majorHAnsi" w:hAnsiTheme="majorHAnsi" w:cstheme="majorHAnsi"/>
        </w:rPr>
        <w:t xml:space="preserve"> öffentlicher</w:t>
      </w:r>
      <w:r w:rsidRPr="000749E9">
        <w:rPr>
          <w:rFonts w:asciiTheme="majorHAnsi" w:hAnsiTheme="majorHAnsi" w:cstheme="majorHAnsi"/>
        </w:rPr>
        <w:t xml:space="preserve"> Beglaubigungen im Handels- und Gesellschaftsrecht geschaffen werden.</w:t>
      </w:r>
      <w:r w:rsidRPr="000749E9">
        <w:rPr>
          <w:rStyle w:val="Funotenzeichen"/>
          <w:rFonts w:asciiTheme="majorHAnsi" w:hAnsiTheme="majorHAnsi" w:cstheme="majorHAnsi"/>
        </w:rPr>
        <w:footnoteReference w:id="3"/>
      </w:r>
      <w:r w:rsidRPr="000749E9">
        <w:rPr>
          <w:rFonts w:asciiTheme="majorHAnsi" w:hAnsiTheme="majorHAnsi" w:cstheme="majorHAnsi"/>
        </w:rPr>
        <w:t xml:space="preserve"> </w:t>
      </w:r>
      <w:r w:rsidR="00D408EB" w:rsidRPr="000749E9">
        <w:rPr>
          <w:rFonts w:asciiTheme="majorHAnsi" w:hAnsiTheme="majorHAnsi" w:cstheme="majorHAnsi"/>
        </w:rPr>
        <w:t>Dann wäre es möglich</w:t>
      </w:r>
      <w:r w:rsidR="00656041">
        <w:rPr>
          <w:rFonts w:asciiTheme="majorHAnsi" w:hAnsiTheme="majorHAnsi" w:cstheme="majorHAnsi"/>
        </w:rPr>
        <w:t>,</w:t>
      </w:r>
      <w:r w:rsidR="00D408EB" w:rsidRPr="000749E9">
        <w:rPr>
          <w:rFonts w:asciiTheme="majorHAnsi" w:hAnsiTheme="majorHAnsi" w:cstheme="majorHAnsi"/>
        </w:rPr>
        <w:t xml:space="preserve"> die Beurkundung der notwendigen Willenserklärungen mittels Videokommunikation vorzunehmen.</w:t>
      </w:r>
      <w:r w:rsidR="00790FE6" w:rsidRPr="000749E9">
        <w:rPr>
          <w:rStyle w:val="Funotenzeichen"/>
          <w:rFonts w:asciiTheme="majorHAnsi" w:hAnsiTheme="majorHAnsi" w:cstheme="majorHAnsi"/>
        </w:rPr>
        <w:footnoteReference w:id="4"/>
      </w:r>
      <w:r w:rsidR="00D408EB" w:rsidRPr="000749E9">
        <w:rPr>
          <w:rFonts w:asciiTheme="majorHAnsi" w:hAnsiTheme="majorHAnsi" w:cstheme="majorHAnsi"/>
        </w:rPr>
        <w:t xml:space="preserve"> </w:t>
      </w:r>
      <w:r w:rsidR="00CE780A" w:rsidRPr="000749E9">
        <w:rPr>
          <w:rFonts w:asciiTheme="majorHAnsi" w:hAnsiTheme="majorHAnsi" w:cstheme="majorHAnsi"/>
        </w:rPr>
        <w:t>Die Online-Beurkundung der GmbH-Gründung soll durch audiovisuelle Fernkommunikation mit dem Notar über ein Videokommunikationssystem erfolgen, das von der Bundesnotarkammer betrieben wird.</w:t>
      </w:r>
      <w:r w:rsidR="00CE780A" w:rsidRPr="000749E9">
        <w:rPr>
          <w:rStyle w:val="Funotenzeichen"/>
          <w:rFonts w:asciiTheme="majorHAnsi" w:hAnsiTheme="majorHAnsi" w:cstheme="majorHAnsi"/>
        </w:rPr>
        <w:footnoteReference w:id="5"/>
      </w:r>
      <w:r w:rsidR="00CE780A" w:rsidRPr="000749E9">
        <w:rPr>
          <w:rFonts w:asciiTheme="majorHAnsi" w:hAnsiTheme="majorHAnsi" w:cstheme="majorHAnsi"/>
        </w:rPr>
        <w:t xml:space="preserve"> </w:t>
      </w:r>
      <w:r w:rsidR="00D408EB" w:rsidRPr="000749E9">
        <w:rPr>
          <w:rFonts w:asciiTheme="majorHAnsi" w:hAnsiTheme="majorHAnsi" w:cstheme="majorHAnsi"/>
        </w:rPr>
        <w:t>Ferner soll die öffentliche Beglaubigung</w:t>
      </w:r>
      <w:r w:rsidR="000749E9" w:rsidRPr="000749E9">
        <w:rPr>
          <w:rFonts w:asciiTheme="majorHAnsi" w:hAnsiTheme="majorHAnsi" w:cstheme="majorHAnsi"/>
        </w:rPr>
        <w:t>, die für Registeranmeldungen erforderlich ist,</w:t>
      </w:r>
      <w:r w:rsidR="00D408EB" w:rsidRPr="000749E9">
        <w:rPr>
          <w:rFonts w:asciiTheme="majorHAnsi" w:hAnsiTheme="majorHAnsi" w:cstheme="majorHAnsi"/>
        </w:rPr>
        <w:t xml:space="preserve"> mittels Videokommunikation durch Notare ermöglicht werden, wodurch auch die Eintragung von Zweigniederlassungen sowie die Einreichung von Urkunden und Informationen vollständig online </w:t>
      </w:r>
      <w:r w:rsidR="00371F66" w:rsidRPr="000749E9">
        <w:rPr>
          <w:rFonts w:asciiTheme="majorHAnsi" w:hAnsiTheme="majorHAnsi" w:cstheme="majorHAnsi"/>
        </w:rPr>
        <w:t>abgeschlossen</w:t>
      </w:r>
      <w:r w:rsidR="00D408EB" w:rsidRPr="000749E9">
        <w:rPr>
          <w:rFonts w:asciiTheme="majorHAnsi" w:hAnsiTheme="majorHAnsi" w:cstheme="majorHAnsi"/>
        </w:rPr>
        <w:t xml:space="preserve"> werden könnten.</w:t>
      </w:r>
      <w:r w:rsidR="00790FE6" w:rsidRPr="000749E9">
        <w:rPr>
          <w:rStyle w:val="Funotenzeichen"/>
          <w:rFonts w:asciiTheme="majorHAnsi" w:hAnsiTheme="majorHAnsi" w:cstheme="majorHAnsi"/>
        </w:rPr>
        <w:footnoteReference w:id="6"/>
      </w:r>
      <w:r w:rsidR="00D408EB" w:rsidRPr="000749E9">
        <w:rPr>
          <w:rFonts w:asciiTheme="majorHAnsi" w:hAnsiTheme="majorHAnsi" w:cstheme="majorHAnsi"/>
        </w:rPr>
        <w:t xml:space="preserve"> </w:t>
      </w:r>
    </w:p>
    <w:p w14:paraId="029D64E5" w14:textId="5AEBF98A" w:rsidR="00CE780A" w:rsidRPr="000749E9" w:rsidRDefault="00B65FFE" w:rsidP="00B65FFE">
      <w:pPr>
        <w:spacing w:before="100" w:after="100" w:line="252" w:lineRule="auto"/>
        <w:jc w:val="both"/>
        <w:rPr>
          <w:rFonts w:asciiTheme="majorHAnsi" w:hAnsiTheme="majorHAnsi" w:cstheme="majorHAnsi"/>
        </w:rPr>
      </w:pPr>
      <w:r w:rsidRPr="000749E9">
        <w:rPr>
          <w:rFonts w:asciiTheme="majorHAnsi" w:hAnsiTheme="majorHAnsi" w:cstheme="majorHAnsi"/>
        </w:rPr>
        <w:t>Da qualifizierte elektronische Signaturen an die Stelle der nach dem BeurkG vorgesehenen Unterschriften treten, übernehmen sie deren Autorisierungsfunktion.</w:t>
      </w:r>
      <w:r w:rsidRPr="000749E9">
        <w:rPr>
          <w:rStyle w:val="Funotenzeichen"/>
          <w:rFonts w:asciiTheme="majorHAnsi" w:hAnsiTheme="majorHAnsi" w:cstheme="majorHAnsi"/>
        </w:rPr>
        <w:footnoteReference w:id="7"/>
      </w:r>
      <w:r w:rsidRPr="000749E9">
        <w:rPr>
          <w:rFonts w:asciiTheme="majorHAnsi" w:hAnsiTheme="majorHAnsi" w:cstheme="majorHAnsi"/>
        </w:rPr>
        <w:t xml:space="preserve"> Im Präsenzverfahren dient die Unterschrift der Dokumentation, dass sich die Beteiligten ihre Erklärungen zurechnen lassen und die </w:t>
      </w:r>
      <w:r w:rsidRPr="000749E9">
        <w:rPr>
          <w:rFonts w:asciiTheme="majorHAnsi" w:hAnsiTheme="majorHAnsi" w:cstheme="majorHAnsi"/>
        </w:rPr>
        <w:lastRenderedPageBreak/>
        <w:t>Urkunde genehmigen.</w:t>
      </w:r>
      <w:r w:rsidRPr="000749E9">
        <w:rPr>
          <w:rStyle w:val="Funotenzeichen"/>
          <w:rFonts w:asciiTheme="majorHAnsi" w:hAnsiTheme="majorHAnsi" w:cstheme="majorHAnsi"/>
        </w:rPr>
        <w:footnoteReference w:id="8"/>
      </w:r>
      <w:r w:rsidRPr="000749E9">
        <w:rPr>
          <w:rFonts w:asciiTheme="majorHAnsi" w:hAnsiTheme="majorHAnsi" w:cstheme="majorHAnsi"/>
        </w:rPr>
        <w:t xml:space="preserve"> Im Online-Verfahren soll dies dadurch geschehen, dass die elektronische Niederschrift von den Beteiligten mit qualifizierten elektronischen Signaturen versehen werden</w:t>
      </w:r>
      <w:r w:rsidR="00D408EB" w:rsidRPr="000749E9">
        <w:rPr>
          <w:rFonts w:asciiTheme="majorHAnsi" w:hAnsiTheme="majorHAnsi" w:cstheme="majorHAnsi"/>
        </w:rPr>
        <w:t>.</w:t>
      </w:r>
      <w:r w:rsidR="00D408EB" w:rsidRPr="000749E9">
        <w:rPr>
          <w:rStyle w:val="Funotenzeichen"/>
          <w:rFonts w:asciiTheme="majorHAnsi" w:hAnsiTheme="majorHAnsi" w:cstheme="majorHAnsi"/>
        </w:rPr>
        <w:footnoteReference w:id="9"/>
      </w:r>
      <w:r w:rsidR="00D408EB" w:rsidRPr="000749E9">
        <w:rPr>
          <w:rFonts w:asciiTheme="majorHAnsi" w:hAnsiTheme="majorHAnsi" w:cstheme="majorHAnsi"/>
        </w:rPr>
        <w:t xml:space="preserve"> </w:t>
      </w:r>
    </w:p>
    <w:p w14:paraId="32715029" w14:textId="46E655E3" w:rsidR="00371F66" w:rsidRPr="000749E9" w:rsidRDefault="00790FE6" w:rsidP="00371F66">
      <w:pPr>
        <w:spacing w:before="100" w:after="100" w:line="252" w:lineRule="auto"/>
        <w:jc w:val="both"/>
        <w:rPr>
          <w:rFonts w:asciiTheme="majorHAnsi" w:hAnsiTheme="majorHAnsi" w:cstheme="majorHAnsi"/>
        </w:rPr>
      </w:pPr>
      <w:r w:rsidRPr="000749E9">
        <w:rPr>
          <w:rFonts w:asciiTheme="majorHAnsi" w:hAnsiTheme="majorHAnsi" w:cstheme="majorHAnsi"/>
        </w:rPr>
        <w:t xml:space="preserve">Zudem soll die Offenlegung von Registerinformationen erleichtert und kostengünstiger werden. </w:t>
      </w:r>
      <w:r w:rsidR="00FE1D92" w:rsidRPr="000749E9">
        <w:rPr>
          <w:rFonts w:asciiTheme="majorHAnsi" w:hAnsiTheme="majorHAnsi" w:cstheme="majorHAnsi"/>
        </w:rPr>
        <w:t xml:space="preserve">Es soll eine Umstellung des bisherigen Bekanntmachungswesens und der bisherigen Offenlegungsstruktur </w:t>
      </w:r>
      <w:r w:rsidR="00371F66" w:rsidRPr="000749E9">
        <w:rPr>
          <w:rFonts w:asciiTheme="majorHAnsi" w:hAnsiTheme="majorHAnsi" w:cstheme="majorHAnsi"/>
        </w:rPr>
        <w:t>insoweit</w:t>
      </w:r>
      <w:r w:rsidR="00FE1D92" w:rsidRPr="000749E9">
        <w:rPr>
          <w:rFonts w:asciiTheme="majorHAnsi" w:hAnsiTheme="majorHAnsi" w:cstheme="majorHAnsi"/>
        </w:rPr>
        <w:t xml:space="preserve"> erfolgen, dass nicht länger eine separate Bekanntmachung von Registereintragungen in einem Bekanntmachungsportal erforderlich ist, sondern dass die Bekanntmachung von Eintragungen in den Registern zukünftig </w:t>
      </w:r>
      <w:r w:rsidR="00F23A25" w:rsidRPr="000749E9">
        <w:rPr>
          <w:rFonts w:asciiTheme="majorHAnsi" w:hAnsiTheme="majorHAnsi" w:cstheme="majorHAnsi"/>
        </w:rPr>
        <w:t>da</w:t>
      </w:r>
      <w:r w:rsidR="00FE1D92" w:rsidRPr="000749E9">
        <w:rPr>
          <w:rFonts w:asciiTheme="majorHAnsi" w:hAnsiTheme="majorHAnsi" w:cstheme="majorHAnsi"/>
        </w:rPr>
        <w:t xml:space="preserve">durch erfolgt, dass sie </w:t>
      </w:r>
      <w:r w:rsidR="00371F66" w:rsidRPr="000749E9">
        <w:rPr>
          <w:rFonts w:asciiTheme="majorHAnsi" w:hAnsiTheme="majorHAnsi" w:cstheme="majorHAnsi"/>
        </w:rPr>
        <w:t>im</w:t>
      </w:r>
      <w:r w:rsidR="00FE1D92" w:rsidRPr="000749E9">
        <w:rPr>
          <w:rFonts w:asciiTheme="majorHAnsi" w:hAnsiTheme="majorHAnsi" w:cstheme="majorHAnsi"/>
        </w:rPr>
        <w:t xml:space="preserve"> jeweiligen Register erstmalig online zum Abruf bereitgestellt werden.</w:t>
      </w:r>
      <w:r w:rsidR="00FE1D92" w:rsidRPr="000749E9">
        <w:rPr>
          <w:rStyle w:val="Funotenzeichen"/>
          <w:rFonts w:asciiTheme="majorHAnsi" w:hAnsiTheme="majorHAnsi" w:cstheme="majorHAnsi"/>
        </w:rPr>
        <w:footnoteReference w:id="10"/>
      </w:r>
      <w:r w:rsidR="00FE1D92" w:rsidRPr="000749E9">
        <w:rPr>
          <w:rFonts w:asciiTheme="majorHAnsi" w:hAnsiTheme="majorHAnsi" w:cstheme="majorHAnsi"/>
        </w:rPr>
        <w:t xml:space="preserve"> </w:t>
      </w:r>
    </w:p>
    <w:p w14:paraId="49E6220E" w14:textId="15567FCB" w:rsidR="00500EBF" w:rsidRPr="000749E9" w:rsidRDefault="00500EBF" w:rsidP="00371F66">
      <w:pPr>
        <w:spacing w:before="100" w:after="100" w:line="252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0749E9">
        <w:rPr>
          <w:rFonts w:asciiTheme="majorHAnsi" w:hAnsiTheme="majorHAnsi" w:cstheme="majorHAnsi"/>
          <w:b/>
          <w:bCs/>
          <w:u w:val="single"/>
        </w:rPr>
        <w:t>Fazit</w:t>
      </w:r>
    </w:p>
    <w:p w14:paraId="1D393AEB" w14:textId="2228685F" w:rsidR="00042F02" w:rsidRPr="000749E9" w:rsidRDefault="00F23A25" w:rsidP="00371F66">
      <w:pPr>
        <w:spacing w:before="100" w:after="100" w:line="252" w:lineRule="auto"/>
        <w:jc w:val="both"/>
        <w:rPr>
          <w:rFonts w:asciiTheme="majorHAnsi" w:hAnsiTheme="majorHAnsi" w:cstheme="majorHAnsi"/>
        </w:rPr>
      </w:pPr>
      <w:r w:rsidRPr="000749E9">
        <w:rPr>
          <w:rFonts w:asciiTheme="majorHAnsi" w:hAnsiTheme="majorHAnsi" w:cstheme="majorHAnsi"/>
        </w:rPr>
        <w:t>Durch die Möglichkeit des</w:t>
      </w:r>
      <w:r w:rsidR="00790FE6" w:rsidRPr="000749E9">
        <w:rPr>
          <w:rFonts w:asciiTheme="majorHAnsi" w:hAnsiTheme="majorHAnsi" w:cstheme="majorHAnsi"/>
        </w:rPr>
        <w:t xml:space="preserve"> Einsatz</w:t>
      </w:r>
      <w:r w:rsidRPr="000749E9">
        <w:rPr>
          <w:rFonts w:asciiTheme="majorHAnsi" w:hAnsiTheme="majorHAnsi" w:cstheme="majorHAnsi"/>
        </w:rPr>
        <w:t>es</w:t>
      </w:r>
      <w:r w:rsidR="00790FE6" w:rsidRPr="000749E9">
        <w:rPr>
          <w:rFonts w:asciiTheme="majorHAnsi" w:hAnsiTheme="majorHAnsi" w:cstheme="majorHAnsi"/>
        </w:rPr>
        <w:t xml:space="preserve"> digitaler </w:t>
      </w:r>
      <w:r w:rsidR="000578D6" w:rsidRPr="000749E9">
        <w:rPr>
          <w:rFonts w:asciiTheme="majorHAnsi" w:hAnsiTheme="majorHAnsi" w:cstheme="majorHAnsi"/>
        </w:rPr>
        <w:t>Verfahren</w:t>
      </w:r>
      <w:r w:rsidR="00790FE6" w:rsidRPr="000749E9">
        <w:rPr>
          <w:rFonts w:asciiTheme="majorHAnsi" w:hAnsiTheme="majorHAnsi" w:cstheme="majorHAnsi"/>
        </w:rPr>
        <w:t xml:space="preserve"> und </w:t>
      </w:r>
      <w:r w:rsidR="000578D6" w:rsidRPr="000749E9">
        <w:rPr>
          <w:rFonts w:asciiTheme="majorHAnsi" w:hAnsiTheme="majorHAnsi" w:cstheme="majorHAnsi"/>
        </w:rPr>
        <w:t>Instrumente</w:t>
      </w:r>
      <w:r w:rsidR="00790FE6" w:rsidRPr="000749E9">
        <w:rPr>
          <w:rFonts w:asciiTheme="majorHAnsi" w:hAnsiTheme="majorHAnsi" w:cstheme="majorHAnsi"/>
        </w:rPr>
        <w:t xml:space="preserve"> </w:t>
      </w:r>
      <w:r w:rsidRPr="000749E9">
        <w:rPr>
          <w:rFonts w:asciiTheme="majorHAnsi" w:hAnsiTheme="majorHAnsi" w:cstheme="majorHAnsi"/>
        </w:rPr>
        <w:t xml:space="preserve">werden </w:t>
      </w:r>
      <w:r w:rsidR="00790FE6" w:rsidRPr="000749E9">
        <w:rPr>
          <w:rFonts w:asciiTheme="majorHAnsi" w:hAnsiTheme="majorHAnsi" w:cstheme="majorHAnsi"/>
        </w:rPr>
        <w:t>die Gründung von Gesellschaften und die Errichtung von Zweigniederlassungen</w:t>
      </w:r>
      <w:r w:rsidRPr="000749E9">
        <w:rPr>
          <w:rFonts w:asciiTheme="majorHAnsi" w:hAnsiTheme="majorHAnsi" w:cstheme="majorHAnsi"/>
        </w:rPr>
        <w:t xml:space="preserve"> europaweit grenzüberschreitend</w:t>
      </w:r>
      <w:r w:rsidR="00790FE6" w:rsidRPr="000749E9">
        <w:rPr>
          <w:rFonts w:asciiTheme="majorHAnsi" w:hAnsiTheme="majorHAnsi" w:cstheme="majorHAnsi"/>
        </w:rPr>
        <w:t xml:space="preserve"> vereinfach</w:t>
      </w:r>
      <w:r w:rsidRPr="000749E9">
        <w:rPr>
          <w:rFonts w:asciiTheme="majorHAnsi" w:hAnsiTheme="majorHAnsi" w:cstheme="majorHAnsi"/>
        </w:rPr>
        <w:t>t.</w:t>
      </w:r>
      <w:r w:rsidR="00790FE6" w:rsidRPr="000749E9">
        <w:rPr>
          <w:rFonts w:asciiTheme="majorHAnsi" w:hAnsiTheme="majorHAnsi" w:cstheme="majorHAnsi"/>
        </w:rPr>
        <w:t xml:space="preserve"> </w:t>
      </w:r>
      <w:r w:rsidRPr="000749E9">
        <w:rPr>
          <w:rFonts w:asciiTheme="majorHAnsi" w:hAnsiTheme="majorHAnsi" w:cstheme="majorHAnsi"/>
        </w:rPr>
        <w:t>Damit werden</w:t>
      </w:r>
      <w:r w:rsidR="00790FE6" w:rsidRPr="000749E9">
        <w:rPr>
          <w:rFonts w:asciiTheme="majorHAnsi" w:hAnsiTheme="majorHAnsi" w:cstheme="majorHAnsi"/>
        </w:rPr>
        <w:t xml:space="preserve"> die Verfahren im Hinblick auf Kosten und Zeit effizienter.</w:t>
      </w:r>
      <w:r w:rsidR="00FE1D92" w:rsidRPr="000749E9">
        <w:rPr>
          <w:rStyle w:val="Funotenzeichen"/>
          <w:rFonts w:asciiTheme="majorHAnsi" w:hAnsiTheme="majorHAnsi" w:cstheme="majorHAnsi"/>
        </w:rPr>
        <w:footnoteReference w:id="11"/>
      </w:r>
      <w:r w:rsidR="000578D6" w:rsidRPr="000749E9">
        <w:rPr>
          <w:rFonts w:asciiTheme="majorHAnsi" w:hAnsiTheme="majorHAnsi" w:cstheme="majorHAnsi"/>
        </w:rPr>
        <w:t xml:space="preserve"> </w:t>
      </w:r>
      <w:r w:rsidR="00656041" w:rsidRPr="000749E9">
        <w:rPr>
          <w:rFonts w:asciiTheme="majorHAnsi" w:hAnsiTheme="majorHAnsi" w:cstheme="majorHAnsi"/>
        </w:rPr>
        <w:t>Die Ausgestaltung dieser Online-Verfahren beeinträchtige dabei nicht die hohen Standards notarieller Beurkundungsverfahren, betonte das Bundesjustizministerium.</w:t>
      </w:r>
      <w:r w:rsidR="00656041" w:rsidRPr="000749E9">
        <w:rPr>
          <w:rStyle w:val="Funotenzeichen"/>
          <w:rFonts w:asciiTheme="majorHAnsi" w:hAnsiTheme="majorHAnsi" w:cstheme="majorHAnsi"/>
        </w:rPr>
        <w:footnoteReference w:id="12"/>
      </w:r>
      <w:r w:rsidR="00656041">
        <w:rPr>
          <w:rFonts w:asciiTheme="majorHAnsi" w:hAnsiTheme="majorHAnsi" w:cstheme="majorHAnsi"/>
        </w:rPr>
        <w:t xml:space="preserve"> </w:t>
      </w:r>
      <w:r w:rsidR="00CE780A" w:rsidRPr="000749E9">
        <w:rPr>
          <w:rFonts w:asciiTheme="majorHAnsi" w:hAnsiTheme="majorHAnsi" w:cstheme="majorHAnsi"/>
        </w:rPr>
        <w:t xml:space="preserve">Gerade in Zeiten der Pandemie ist die Einführung und Anwendung digitaler Verfahren unerlässlich, da Onlinekommunikation zu einem festen Bestandteil des Arbeitsalltags geworden ist. Daher ist es zu begrüßen, dass es </w:t>
      </w:r>
      <w:r w:rsidR="00656041" w:rsidRPr="000749E9">
        <w:rPr>
          <w:rFonts w:asciiTheme="majorHAnsi" w:hAnsiTheme="majorHAnsi" w:cstheme="majorHAnsi"/>
        </w:rPr>
        <w:t xml:space="preserve">diese Möglichkeiten </w:t>
      </w:r>
      <w:r w:rsidR="00CE780A" w:rsidRPr="000749E9">
        <w:rPr>
          <w:rFonts w:asciiTheme="majorHAnsi" w:hAnsiTheme="majorHAnsi" w:cstheme="majorHAnsi"/>
        </w:rPr>
        <w:t xml:space="preserve">auch in </w:t>
      </w:r>
      <w:r w:rsidR="00656041">
        <w:rPr>
          <w:rFonts w:asciiTheme="majorHAnsi" w:hAnsiTheme="majorHAnsi" w:cstheme="majorHAnsi"/>
        </w:rPr>
        <w:t>d</w:t>
      </w:r>
      <w:r w:rsidR="00CE780A" w:rsidRPr="000749E9">
        <w:rPr>
          <w:rFonts w:asciiTheme="majorHAnsi" w:hAnsiTheme="majorHAnsi" w:cstheme="majorHAnsi"/>
        </w:rPr>
        <w:t>er notariellen Praxis in Zukunft geben wird.</w:t>
      </w:r>
    </w:p>
    <w:sectPr w:rsidR="00042F02" w:rsidRPr="000749E9" w:rsidSect="00CE780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18A64" w14:textId="77777777" w:rsidR="00541120" w:rsidRDefault="00541120" w:rsidP="00434110">
      <w:pPr>
        <w:spacing w:after="0" w:line="240" w:lineRule="auto"/>
      </w:pPr>
      <w:r>
        <w:separator/>
      </w:r>
    </w:p>
  </w:endnote>
  <w:endnote w:type="continuationSeparator" w:id="0">
    <w:p w14:paraId="728F5334" w14:textId="77777777" w:rsidR="00541120" w:rsidRDefault="00541120" w:rsidP="0043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3C8B" w14:textId="77777777" w:rsidR="00541120" w:rsidRDefault="00541120" w:rsidP="00434110">
      <w:pPr>
        <w:spacing w:after="0" w:line="240" w:lineRule="auto"/>
      </w:pPr>
      <w:r>
        <w:separator/>
      </w:r>
    </w:p>
  </w:footnote>
  <w:footnote w:type="continuationSeparator" w:id="0">
    <w:p w14:paraId="6182F43C" w14:textId="77777777" w:rsidR="00541120" w:rsidRDefault="00541120" w:rsidP="00434110">
      <w:pPr>
        <w:spacing w:after="0" w:line="240" w:lineRule="auto"/>
      </w:pPr>
      <w:r>
        <w:continuationSeparator/>
      </w:r>
    </w:p>
  </w:footnote>
  <w:footnote w:id="1">
    <w:p w14:paraId="36AAF876" w14:textId="4078D42E" w:rsidR="00AE5CDC" w:rsidRPr="00AE5CDC" w:rsidRDefault="00AE5CDC">
      <w:pPr>
        <w:pStyle w:val="Funotentext"/>
        <w:rPr>
          <w:rFonts w:asciiTheme="majorHAnsi" w:hAnsiTheme="majorHAnsi" w:cstheme="majorHAnsi"/>
        </w:rPr>
      </w:pPr>
      <w:r>
        <w:rPr>
          <w:rStyle w:val="Funotenzeichen"/>
        </w:rPr>
        <w:footnoteRef/>
      </w:r>
      <w:r>
        <w:t xml:space="preserve"> </w:t>
      </w:r>
      <w:r w:rsidRPr="00AE5CDC">
        <w:rPr>
          <w:rFonts w:asciiTheme="majorHAnsi" w:hAnsiTheme="majorHAnsi" w:cstheme="majorHAnsi"/>
        </w:rPr>
        <w:t xml:space="preserve">Vgl. zu den Unterschieden: </w:t>
      </w:r>
      <w:proofErr w:type="spellStart"/>
      <w:r w:rsidRPr="00AE5CDC">
        <w:rPr>
          <w:rFonts w:asciiTheme="majorHAnsi" w:hAnsiTheme="majorHAnsi" w:cstheme="majorHAnsi"/>
        </w:rPr>
        <w:t>Boczek</w:t>
      </w:r>
      <w:proofErr w:type="spellEnd"/>
      <w:r w:rsidRPr="00AE5CDC">
        <w:rPr>
          <w:rFonts w:asciiTheme="majorHAnsi" w:hAnsiTheme="majorHAnsi" w:cstheme="majorHAnsi"/>
        </w:rPr>
        <w:t xml:space="preserve">/Lührs, </w:t>
      </w:r>
      <w:proofErr w:type="spellStart"/>
      <w:r w:rsidRPr="00AE5CDC">
        <w:rPr>
          <w:rFonts w:asciiTheme="majorHAnsi" w:hAnsiTheme="majorHAnsi" w:cstheme="majorHAnsi"/>
        </w:rPr>
        <w:t>JuS</w:t>
      </w:r>
      <w:proofErr w:type="spellEnd"/>
      <w:r w:rsidRPr="00AE5CDC">
        <w:rPr>
          <w:rFonts w:asciiTheme="majorHAnsi" w:hAnsiTheme="majorHAnsi" w:cstheme="majorHAnsi"/>
        </w:rPr>
        <w:t xml:space="preserve"> 2020, 916.</w:t>
      </w:r>
    </w:p>
  </w:footnote>
  <w:footnote w:id="2">
    <w:p w14:paraId="5CDE8E45" w14:textId="55B3D6D9" w:rsidR="00500EBF" w:rsidRPr="00CE780A" w:rsidRDefault="00500EBF" w:rsidP="000578D6">
      <w:pPr>
        <w:pStyle w:val="Funotentext"/>
        <w:ind w:left="170" w:hanging="170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Richtlinie (EU) 2019/1151 des Europäischen Parlaments und des Rates vom 20. Juni 2019 zur Änderung der Richtlinie (EU) 2017/1132 im Hinblick auf den Einsatz digitaler Werkzeuge und Verfahren im Gesellschaftsrecht.</w:t>
      </w:r>
    </w:p>
  </w:footnote>
  <w:footnote w:id="3">
    <w:p w14:paraId="505F07CD" w14:textId="77777777" w:rsidR="00042F02" w:rsidRPr="00CE780A" w:rsidRDefault="00042F02" w:rsidP="000578D6">
      <w:pPr>
        <w:pStyle w:val="Funotentext"/>
        <w:ind w:left="170" w:hanging="170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Referentenentwurf des Bundesministeriums der Justiz und für Verbraucherschutz, S. 72.</w:t>
      </w:r>
    </w:p>
  </w:footnote>
  <w:footnote w:id="4">
    <w:p w14:paraId="5B30C06E" w14:textId="7FBBF42D" w:rsidR="00790FE6" w:rsidRPr="00CE780A" w:rsidRDefault="00790FE6" w:rsidP="000578D6">
      <w:pPr>
        <w:pStyle w:val="Funotentext"/>
        <w:ind w:left="170" w:hanging="170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https://rsw.beck.de/aktuell/daily/meldung/detail/gesetzentwurf-notarielle-beurkundung-von-willenserklaerungen-kuenftig-mittels-videokommunikation.</w:t>
      </w:r>
    </w:p>
  </w:footnote>
  <w:footnote w:id="5">
    <w:p w14:paraId="672E8885" w14:textId="28DA2384" w:rsidR="00CE780A" w:rsidRPr="00CE780A" w:rsidRDefault="00CE780A">
      <w:pPr>
        <w:pStyle w:val="Funotentext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Schmidt, </w:t>
      </w:r>
      <w:proofErr w:type="spellStart"/>
      <w:r w:rsidRPr="00CE780A">
        <w:rPr>
          <w:rFonts w:asciiTheme="majorHAnsi" w:hAnsiTheme="majorHAnsi" w:cstheme="majorHAnsi"/>
        </w:rPr>
        <w:t>EuZW</w:t>
      </w:r>
      <w:proofErr w:type="spellEnd"/>
      <w:r w:rsidRPr="00CE780A">
        <w:rPr>
          <w:rFonts w:asciiTheme="majorHAnsi" w:hAnsiTheme="majorHAnsi" w:cstheme="majorHAnsi"/>
        </w:rPr>
        <w:t xml:space="preserve"> 2021, 43.</w:t>
      </w:r>
    </w:p>
  </w:footnote>
  <w:footnote w:id="6">
    <w:p w14:paraId="7A3E2146" w14:textId="77096611" w:rsidR="00790FE6" w:rsidRPr="00CE780A" w:rsidRDefault="00790FE6" w:rsidP="000578D6">
      <w:pPr>
        <w:pStyle w:val="Funotentext"/>
        <w:ind w:left="170" w:hanging="170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</w:t>
      </w:r>
      <w:r w:rsidR="00FE1D92" w:rsidRPr="00CE780A">
        <w:rPr>
          <w:rFonts w:asciiTheme="majorHAnsi" w:hAnsiTheme="majorHAnsi" w:cstheme="majorHAnsi"/>
        </w:rPr>
        <w:t>https://rsw.beck.de/aktuell/daily/meldung/detail/gesetzentwurf-notarielle-beurkundung-von-willenserklaerungen-kuenftig-mittels-videokommunikation.</w:t>
      </w:r>
    </w:p>
  </w:footnote>
  <w:footnote w:id="7">
    <w:p w14:paraId="4B46F4DF" w14:textId="67857A3B" w:rsidR="00B65FFE" w:rsidRPr="00B65FFE" w:rsidRDefault="00B65FFE" w:rsidP="00B65FFE">
      <w:pPr>
        <w:pStyle w:val="Funotentext"/>
        <w:ind w:left="170" w:hanging="170"/>
        <w:rPr>
          <w:rFonts w:asciiTheme="majorHAnsi" w:hAnsiTheme="majorHAnsi" w:cstheme="majorHAnsi"/>
        </w:rPr>
      </w:pPr>
      <w:r>
        <w:rPr>
          <w:rStyle w:val="Funotenzeichen"/>
        </w:rPr>
        <w:footnoteRef/>
      </w:r>
      <w:r>
        <w:t xml:space="preserve"> </w:t>
      </w:r>
      <w:r w:rsidRPr="00CE780A">
        <w:rPr>
          <w:rFonts w:asciiTheme="majorHAnsi" w:hAnsiTheme="majorHAnsi" w:cstheme="majorHAnsi"/>
        </w:rPr>
        <w:t>Referentenentwurf des Bundesministeriums der Justiz und für Verbraucherschutz, S. 113.</w:t>
      </w:r>
    </w:p>
  </w:footnote>
  <w:footnote w:id="8">
    <w:p w14:paraId="659F315E" w14:textId="44F7AD57" w:rsidR="00B65FFE" w:rsidRDefault="00B65F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5FFE">
        <w:t xml:space="preserve"> </w:t>
      </w:r>
      <w:r w:rsidRPr="00B65FFE">
        <w:rPr>
          <w:rFonts w:asciiTheme="majorHAnsi" w:hAnsiTheme="majorHAnsi" w:cstheme="majorHAnsi"/>
        </w:rPr>
        <w:t xml:space="preserve">BGH </w:t>
      </w:r>
      <w:proofErr w:type="spellStart"/>
      <w:r w:rsidRPr="00B65FFE">
        <w:rPr>
          <w:rFonts w:asciiTheme="majorHAnsi" w:hAnsiTheme="majorHAnsi" w:cstheme="majorHAnsi"/>
        </w:rPr>
        <w:t>DNotZ</w:t>
      </w:r>
      <w:proofErr w:type="spellEnd"/>
      <w:r w:rsidRPr="00B65FFE">
        <w:rPr>
          <w:rFonts w:asciiTheme="majorHAnsi" w:hAnsiTheme="majorHAnsi" w:cstheme="majorHAnsi"/>
        </w:rPr>
        <w:t xml:space="preserve"> 2003, 269, 270.</w:t>
      </w:r>
    </w:p>
  </w:footnote>
  <w:footnote w:id="9">
    <w:p w14:paraId="0A46AD4C" w14:textId="37064899" w:rsidR="00D408EB" w:rsidRPr="00CE780A" w:rsidRDefault="00D408EB" w:rsidP="000578D6">
      <w:pPr>
        <w:pStyle w:val="Funotentext"/>
        <w:ind w:left="170" w:hanging="170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Referentenentwurf des Bundesministeriums der Justiz und für Verbraucherschutz, S. 113.</w:t>
      </w:r>
    </w:p>
  </w:footnote>
  <w:footnote w:id="10">
    <w:p w14:paraId="2762A9FF" w14:textId="018581FB" w:rsidR="00FE1D92" w:rsidRPr="00CE780A" w:rsidRDefault="00FE1D92" w:rsidP="000578D6">
      <w:pPr>
        <w:pStyle w:val="Funotentext"/>
        <w:ind w:left="170" w:hanging="170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</w:t>
      </w:r>
      <w:hyperlink r:id="rId1" w:history="1">
        <w:r w:rsidR="00CE780A" w:rsidRPr="00CE780A">
          <w:rPr>
            <w:rStyle w:val="Hyperlink"/>
            <w:rFonts w:asciiTheme="majorHAnsi" w:hAnsiTheme="majorHAnsi" w:cstheme="majorHAnsi"/>
            <w:color w:val="auto"/>
            <w:u w:val="none"/>
          </w:rPr>
          <w:t>https://www.bmjv.de/SharedDocs/Gesetzgebungsverfahren/DE/Digitalisierungsrichtlinie.html</w:t>
        </w:r>
      </w:hyperlink>
      <w:r w:rsidR="00CE780A" w:rsidRPr="00CE780A">
        <w:rPr>
          <w:rFonts w:asciiTheme="majorHAnsi" w:hAnsiTheme="majorHAnsi" w:cstheme="majorHAnsi"/>
        </w:rPr>
        <w:t xml:space="preserve">; vgl. auch: Schmidt, </w:t>
      </w:r>
      <w:proofErr w:type="spellStart"/>
      <w:r w:rsidR="00CE780A" w:rsidRPr="00CE780A">
        <w:rPr>
          <w:rFonts w:asciiTheme="majorHAnsi" w:hAnsiTheme="majorHAnsi" w:cstheme="majorHAnsi"/>
        </w:rPr>
        <w:t>EuZW</w:t>
      </w:r>
      <w:proofErr w:type="spellEnd"/>
      <w:r w:rsidR="00CE780A" w:rsidRPr="00CE780A">
        <w:rPr>
          <w:rFonts w:asciiTheme="majorHAnsi" w:hAnsiTheme="majorHAnsi" w:cstheme="majorHAnsi"/>
        </w:rPr>
        <w:t xml:space="preserve"> 2021, 43.</w:t>
      </w:r>
    </w:p>
  </w:footnote>
  <w:footnote w:id="11">
    <w:p w14:paraId="1E078457" w14:textId="4007A97D" w:rsidR="00FE1D92" w:rsidRPr="00CE780A" w:rsidRDefault="00FE1D92" w:rsidP="000578D6">
      <w:pPr>
        <w:pStyle w:val="Funotentext"/>
        <w:ind w:left="170" w:hanging="170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https://www.bmjv.de/SharedDocs/Gesetzgebungsverfahren/DE/Digitalisierungsrichtlinie.html.</w:t>
      </w:r>
    </w:p>
  </w:footnote>
  <w:footnote w:id="12">
    <w:p w14:paraId="3088DC42" w14:textId="77777777" w:rsidR="00656041" w:rsidRPr="00CE780A" w:rsidRDefault="00656041" w:rsidP="00656041">
      <w:pPr>
        <w:pStyle w:val="Funotentext"/>
        <w:ind w:left="170" w:hanging="170"/>
        <w:rPr>
          <w:rFonts w:asciiTheme="majorHAnsi" w:hAnsiTheme="majorHAnsi" w:cstheme="majorHAnsi"/>
        </w:rPr>
      </w:pPr>
      <w:r w:rsidRPr="00CE780A">
        <w:rPr>
          <w:rStyle w:val="Funotenzeichen"/>
          <w:rFonts w:asciiTheme="majorHAnsi" w:hAnsiTheme="majorHAnsi" w:cstheme="majorHAnsi"/>
        </w:rPr>
        <w:footnoteRef/>
      </w:r>
      <w:r w:rsidRPr="00CE780A">
        <w:rPr>
          <w:rFonts w:asciiTheme="majorHAnsi" w:hAnsiTheme="majorHAnsi" w:cstheme="majorHAnsi"/>
        </w:rPr>
        <w:t xml:space="preserve"> https://rsw.beck.de/aktuell/daily/meldung/detail/gesetzentwurf-notarielle-beurkundung-von-willenserklaerungen-kuenftig-mittels-videokommunikation.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4003" w14:textId="3D591325" w:rsidR="00231BEE" w:rsidRPr="00231BEE" w:rsidRDefault="00231BEE" w:rsidP="00231BEE">
    <w:pPr>
      <w:jc w:val="both"/>
    </w:pPr>
    <w:r w:rsidRPr="00231BEE">
      <w:t xml:space="preserve">Info-Brief vom </w:t>
    </w:r>
    <w:r w:rsidR="00656041">
      <w:t>15</w:t>
    </w:r>
    <w:r w:rsidRPr="00231BEE">
      <w:t>.0</w:t>
    </w:r>
    <w:r w:rsidR="00FE1D92">
      <w:t>4</w:t>
    </w:r>
    <w:r w:rsidRPr="00231BEE">
      <w:t>.20</w:t>
    </w:r>
    <w:r w:rsidR="00FE1D92">
      <w:t>21</w:t>
    </w:r>
  </w:p>
  <w:p w14:paraId="6FF87F37" w14:textId="77777777" w:rsidR="00231BEE" w:rsidRDefault="00231B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A7EFF"/>
    <w:multiLevelType w:val="multilevel"/>
    <w:tmpl w:val="C3DC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0A"/>
    <w:rsid w:val="000166FD"/>
    <w:rsid w:val="00042F02"/>
    <w:rsid w:val="000578D6"/>
    <w:rsid w:val="00061DD4"/>
    <w:rsid w:val="000749E9"/>
    <w:rsid w:val="000F4C0A"/>
    <w:rsid w:val="0012540D"/>
    <w:rsid w:val="001B41B1"/>
    <w:rsid w:val="001B5E48"/>
    <w:rsid w:val="00231BEE"/>
    <w:rsid w:val="00371F66"/>
    <w:rsid w:val="00375B29"/>
    <w:rsid w:val="003B492A"/>
    <w:rsid w:val="00434110"/>
    <w:rsid w:val="00500EBF"/>
    <w:rsid w:val="00541120"/>
    <w:rsid w:val="00547EBF"/>
    <w:rsid w:val="00575006"/>
    <w:rsid w:val="00656041"/>
    <w:rsid w:val="006E3468"/>
    <w:rsid w:val="00724179"/>
    <w:rsid w:val="00756526"/>
    <w:rsid w:val="00790FE6"/>
    <w:rsid w:val="00957CF0"/>
    <w:rsid w:val="009B4A1B"/>
    <w:rsid w:val="009E3BF4"/>
    <w:rsid w:val="009E4E4F"/>
    <w:rsid w:val="00A12A69"/>
    <w:rsid w:val="00A66349"/>
    <w:rsid w:val="00AE5CDC"/>
    <w:rsid w:val="00B65FFE"/>
    <w:rsid w:val="00B868F4"/>
    <w:rsid w:val="00BE71AA"/>
    <w:rsid w:val="00C24020"/>
    <w:rsid w:val="00C93093"/>
    <w:rsid w:val="00CE3745"/>
    <w:rsid w:val="00CE780A"/>
    <w:rsid w:val="00CF7C27"/>
    <w:rsid w:val="00D408EB"/>
    <w:rsid w:val="00E078AE"/>
    <w:rsid w:val="00E74FC6"/>
    <w:rsid w:val="00ED0440"/>
    <w:rsid w:val="00EE19AB"/>
    <w:rsid w:val="00F23A25"/>
    <w:rsid w:val="00F517FB"/>
    <w:rsid w:val="00F65D33"/>
    <w:rsid w:val="00F93F20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32B5"/>
  <w15:chartTrackingRefBased/>
  <w15:docId w15:val="{5578AE67-9109-470C-A553-F62FC88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66349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41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41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411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3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BEE"/>
  </w:style>
  <w:style w:type="paragraph" w:styleId="Fuzeile">
    <w:name w:val="footer"/>
    <w:basedOn w:val="Standard"/>
    <w:link w:val="FuzeileZchn"/>
    <w:uiPriority w:val="99"/>
    <w:unhideWhenUsed/>
    <w:rsid w:val="0023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BEE"/>
  </w:style>
  <w:style w:type="character" w:styleId="Hyperlink">
    <w:name w:val="Hyperlink"/>
    <w:basedOn w:val="Absatz-Standardschriftart"/>
    <w:uiPriority w:val="99"/>
    <w:unhideWhenUsed/>
    <w:rsid w:val="00CE78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mjv.de/SharedDocs/Gesetzgebungsverfahren/DE/Digitalisierungsrichtlini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5DFC-B4E8-4D6A-A689-2D87FF9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Schneider</dc:creator>
  <cp:keywords/>
  <dc:description/>
  <cp:lastModifiedBy>s318323</cp:lastModifiedBy>
  <cp:revision>7</cp:revision>
  <cp:lastPrinted>2019-03-07T10:39:00Z</cp:lastPrinted>
  <dcterms:created xsi:type="dcterms:W3CDTF">2021-04-02T10:19:00Z</dcterms:created>
  <dcterms:modified xsi:type="dcterms:W3CDTF">2021-04-15T15:41:00Z</dcterms:modified>
</cp:coreProperties>
</file>