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C63A" w14:textId="77777777" w:rsidR="009E4E4F" w:rsidRDefault="009E4E4F" w:rsidP="00231BEE">
      <w:pPr>
        <w:jc w:val="both"/>
      </w:pPr>
      <w:r>
        <w:rPr>
          <w:noProof/>
          <w:lang w:eastAsia="de-DE"/>
        </w:rPr>
        <w:drawing>
          <wp:inline distT="0" distB="0" distL="0" distR="0" wp14:anchorId="49CBD1A5" wp14:editId="2B36788A">
            <wp:extent cx="2143125" cy="50601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840" t="10913" r="14351" b="72222"/>
                    <a:stretch/>
                  </pic:blipFill>
                  <pic:spPr bwMode="auto">
                    <a:xfrm>
                      <a:off x="0" y="0"/>
                      <a:ext cx="2237120" cy="52820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rsidR="00F93F20">
        <w:tab/>
      </w:r>
      <w:r>
        <w:tab/>
      </w:r>
      <w:r>
        <w:rPr>
          <w:rFonts w:cstheme="minorHAnsi"/>
          <w:noProof/>
          <w:sz w:val="24"/>
          <w:szCs w:val="24"/>
          <w:lang w:eastAsia="de-DE"/>
        </w:rPr>
        <w:drawing>
          <wp:inline distT="0" distB="0" distL="0" distR="0" wp14:anchorId="63BB188D" wp14:editId="1BA9D1EF">
            <wp:extent cx="1238250" cy="69665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EFRE_Bayern_4d4e6d7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875" cy="748199"/>
                    </a:xfrm>
                    <a:prstGeom prst="rect">
                      <a:avLst/>
                    </a:prstGeom>
                  </pic:spPr>
                </pic:pic>
              </a:graphicData>
            </a:graphic>
          </wp:inline>
        </w:drawing>
      </w:r>
    </w:p>
    <w:p w14:paraId="65558126" w14:textId="77777777" w:rsidR="009E4E4F" w:rsidRDefault="009E4E4F" w:rsidP="00231BEE">
      <w:pPr>
        <w:ind w:left="5664" w:firstLine="708"/>
        <w:jc w:val="both"/>
      </w:pPr>
      <w:r>
        <w:rPr>
          <w:rFonts w:cstheme="minorHAnsi"/>
          <w:noProof/>
          <w:sz w:val="24"/>
          <w:szCs w:val="24"/>
          <w:lang w:eastAsia="de-DE"/>
        </w:rPr>
        <w:drawing>
          <wp:inline distT="0" distB="0" distL="0" distR="0" wp14:anchorId="5CE78933" wp14:editId="39875F64">
            <wp:extent cx="1485900" cy="3819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Foerderhinwe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28" cy="412595"/>
                    </a:xfrm>
                    <a:prstGeom prst="rect">
                      <a:avLst/>
                    </a:prstGeom>
                  </pic:spPr>
                </pic:pic>
              </a:graphicData>
            </a:graphic>
          </wp:inline>
        </w:drawing>
      </w:r>
    </w:p>
    <w:p w14:paraId="1C48862B" w14:textId="77777777" w:rsidR="009E4E4F" w:rsidRDefault="009E4E4F" w:rsidP="00231BEE">
      <w:pPr>
        <w:spacing w:before="120"/>
        <w:jc w:val="both"/>
        <w:rPr>
          <w:rFonts w:ascii="Times New Roman" w:hAnsi="Times New Roman" w:cs="Times New Roman"/>
          <w:sz w:val="24"/>
          <w:szCs w:val="24"/>
        </w:rPr>
      </w:pPr>
    </w:p>
    <w:p w14:paraId="4B76D8DE" w14:textId="5D3ADB58" w:rsidR="00EF5CF3" w:rsidRPr="00EF5CF3" w:rsidRDefault="00EF5CF3" w:rsidP="00EF5CF3">
      <w:pPr>
        <w:shd w:val="clear" w:color="auto" w:fill="FFFFFF"/>
        <w:spacing w:before="100" w:beforeAutospacing="1" w:after="100" w:afterAutospacing="1" w:line="240" w:lineRule="auto"/>
        <w:ind w:left="720"/>
        <w:jc w:val="center"/>
        <w:rPr>
          <w:rFonts w:ascii="Helvetica" w:eastAsia="Times New Roman" w:hAnsi="Helvetica" w:cs="Helvetica"/>
          <w:color w:val="000000"/>
          <w:sz w:val="21"/>
          <w:szCs w:val="21"/>
          <w:lang w:eastAsia="de-DE"/>
        </w:rPr>
      </w:pPr>
      <w:r w:rsidRPr="00EF5CF3">
        <w:rPr>
          <w:rFonts w:ascii="Helvetica" w:eastAsia="Times New Roman" w:hAnsi="Helvetica" w:cs="Helvetica"/>
          <w:b/>
          <w:bCs/>
          <w:color w:val="000000"/>
          <w:sz w:val="21"/>
          <w:szCs w:val="21"/>
          <w:lang w:eastAsia="de-DE"/>
        </w:rPr>
        <w:t xml:space="preserve">Mehr Transparenz </w:t>
      </w:r>
      <w:r>
        <w:rPr>
          <w:rFonts w:ascii="Helvetica" w:eastAsia="Times New Roman" w:hAnsi="Helvetica" w:cs="Helvetica"/>
          <w:b/>
          <w:bCs/>
          <w:color w:val="000000"/>
          <w:sz w:val="21"/>
          <w:szCs w:val="21"/>
          <w:lang w:eastAsia="de-DE"/>
        </w:rPr>
        <w:t>bei</w:t>
      </w:r>
      <w:r w:rsidRPr="00EF5CF3">
        <w:rPr>
          <w:rFonts w:ascii="Helvetica" w:eastAsia="Times New Roman" w:hAnsi="Helvetica" w:cs="Helvetica"/>
          <w:b/>
          <w:bCs/>
          <w:color w:val="000000"/>
          <w:sz w:val="21"/>
          <w:szCs w:val="21"/>
          <w:lang w:eastAsia="de-DE"/>
        </w:rPr>
        <w:t xml:space="preserve"> Online-</w:t>
      </w:r>
      <w:r>
        <w:rPr>
          <w:rFonts w:ascii="Helvetica" w:eastAsia="Times New Roman" w:hAnsi="Helvetica" w:cs="Helvetica"/>
          <w:b/>
          <w:bCs/>
          <w:color w:val="000000"/>
          <w:sz w:val="21"/>
          <w:szCs w:val="21"/>
          <w:lang w:eastAsia="de-DE"/>
        </w:rPr>
        <w:t>Diensten</w:t>
      </w:r>
    </w:p>
    <w:p w14:paraId="5CA82ED5" w14:textId="2D824FAC" w:rsidR="00B67D25" w:rsidRPr="00B67D25" w:rsidRDefault="00B67D25" w:rsidP="00231BEE">
      <w:pPr>
        <w:spacing w:before="75"/>
        <w:jc w:val="both"/>
        <w:rPr>
          <w:rFonts w:ascii="Calibri" w:hAnsi="Calibri" w:cs="Calibri"/>
          <w:u w:val="single"/>
        </w:rPr>
      </w:pPr>
      <w:r w:rsidRPr="00B67D25">
        <w:rPr>
          <w:rFonts w:ascii="Calibri" w:hAnsi="Calibri" w:cs="Calibri"/>
          <w:u w:val="single"/>
        </w:rPr>
        <w:t>Einleitung</w:t>
      </w:r>
    </w:p>
    <w:p w14:paraId="0B940D38" w14:textId="61F5243F" w:rsidR="009E4E4F" w:rsidRDefault="00672F1E" w:rsidP="00231BEE">
      <w:pPr>
        <w:spacing w:before="75"/>
        <w:jc w:val="both"/>
        <w:rPr>
          <w:rFonts w:ascii="Calibri" w:hAnsi="Calibri" w:cs="Calibri"/>
        </w:rPr>
      </w:pPr>
      <w:r>
        <w:rPr>
          <w:rFonts w:ascii="Calibri" w:hAnsi="Calibri" w:cs="Calibri"/>
        </w:rPr>
        <w:t xml:space="preserve">Am 7. Januar 2020 trat die Richtlinie </w:t>
      </w:r>
      <w:r>
        <w:t xml:space="preserve">(EU) 2019/2161 des Europäischen Parlaments und des Rates vom 27. November 2019 </w:t>
      </w:r>
      <w:r>
        <w:rPr>
          <w:rFonts w:ascii="Calibri" w:hAnsi="Calibri" w:cs="Calibri"/>
        </w:rPr>
        <w:t xml:space="preserve">in Kraft, die innerhalb von zwei Jahren in nationales Recht umzusetzen ist. </w:t>
      </w:r>
      <w:r w:rsidR="00EF5CF3">
        <w:rPr>
          <w:rFonts w:ascii="Calibri" w:hAnsi="Calibri" w:cs="Calibri"/>
        </w:rPr>
        <w:t>Mit der Omnibus-Richtlinie setzte sich die EU-Kommission das Ziel, den Schutz von Verbrauchern zu stärken. Dafür hat sie unter anderem den Anhang der UGP-Richtlinie angepasst, der stets unzulässige unlautere Handlungen aufführt, die Unterlassungs- oder Schadensersatzansprüche auslösen können.</w:t>
      </w:r>
      <w:r w:rsidR="00E7070A">
        <w:rPr>
          <w:rFonts w:ascii="Calibri" w:hAnsi="Calibri" w:cs="Calibri"/>
        </w:rPr>
        <w:t xml:space="preserve"> </w:t>
      </w:r>
      <w:r w:rsidR="001A0795">
        <w:rPr>
          <w:rFonts w:ascii="Calibri" w:hAnsi="Calibri" w:cs="Calibri"/>
        </w:rPr>
        <w:t xml:space="preserve">Zudem drohen den Unternehmen bei Verstößen Abmahnungen. </w:t>
      </w:r>
      <w:r w:rsidR="00E423C9">
        <w:rPr>
          <w:rFonts w:ascii="Calibri" w:hAnsi="Calibri" w:cs="Calibri"/>
        </w:rPr>
        <w:t>Mit der Richtlinie</w:t>
      </w:r>
      <w:r w:rsidR="00963B31">
        <w:rPr>
          <w:rFonts w:ascii="Calibri" w:hAnsi="Calibri" w:cs="Calibri"/>
        </w:rPr>
        <w:t xml:space="preserve"> werden neue Informationspflichten</w:t>
      </w:r>
      <w:r w:rsidR="00794FD2">
        <w:rPr>
          <w:rFonts w:ascii="Calibri" w:hAnsi="Calibri" w:cs="Calibri"/>
        </w:rPr>
        <w:t xml:space="preserve"> für Gewerbetreibende</w:t>
      </w:r>
      <w:r w:rsidR="00963B31">
        <w:rPr>
          <w:rFonts w:ascii="Calibri" w:hAnsi="Calibri" w:cs="Calibri"/>
        </w:rPr>
        <w:t xml:space="preserve"> vorgeschrieben und Verbote aufgenommen</w:t>
      </w:r>
      <w:r w:rsidR="00794FD2">
        <w:rPr>
          <w:rFonts w:ascii="Calibri" w:hAnsi="Calibri" w:cs="Calibri"/>
        </w:rPr>
        <w:t>, um die Irreführung der Verbraucher durch Rankings und Bewertungen zu vermeiden</w:t>
      </w:r>
      <w:r w:rsidR="00963B31">
        <w:rPr>
          <w:rFonts w:ascii="Calibri" w:hAnsi="Calibri" w:cs="Calibri"/>
        </w:rPr>
        <w:t>.</w:t>
      </w:r>
    </w:p>
    <w:p w14:paraId="408F6CCB" w14:textId="77777777" w:rsidR="00794FD2" w:rsidRDefault="00794FD2" w:rsidP="00231BEE">
      <w:pPr>
        <w:spacing w:before="75"/>
        <w:jc w:val="both"/>
        <w:rPr>
          <w:rFonts w:ascii="Calibri" w:hAnsi="Calibri" w:cs="Calibri"/>
        </w:rPr>
      </w:pPr>
    </w:p>
    <w:p w14:paraId="106E17E7" w14:textId="6764D563" w:rsidR="00B67D25" w:rsidRPr="00B67D25" w:rsidRDefault="00B67D25" w:rsidP="00231BEE">
      <w:pPr>
        <w:spacing w:before="75"/>
        <w:jc w:val="both"/>
        <w:rPr>
          <w:rFonts w:ascii="Calibri" w:hAnsi="Calibri" w:cs="Calibri"/>
          <w:u w:val="single"/>
        </w:rPr>
      </w:pPr>
      <w:r w:rsidRPr="00B67D25">
        <w:rPr>
          <w:rFonts w:ascii="Calibri" w:hAnsi="Calibri" w:cs="Calibri"/>
          <w:u w:val="single"/>
        </w:rPr>
        <w:t>Rechtliche Änderungen</w:t>
      </w:r>
    </w:p>
    <w:p w14:paraId="3D1337D0" w14:textId="52D69C83" w:rsidR="00E7070A" w:rsidRDefault="000F371D" w:rsidP="00231BEE">
      <w:pPr>
        <w:spacing w:before="75"/>
        <w:jc w:val="both"/>
      </w:pPr>
      <w:r>
        <w:t xml:space="preserve">Die </w:t>
      </w:r>
      <w:r w:rsidR="00EF5CF3">
        <w:t xml:space="preserve">Anzeige </w:t>
      </w:r>
      <w:r w:rsidR="00672F1E" w:rsidRPr="00672F1E">
        <w:t xml:space="preserve">von Suchergebnissen aufgrund </w:t>
      </w:r>
      <w:r w:rsidR="005162FD">
        <w:t>einer</w:t>
      </w:r>
      <w:r w:rsidR="00672F1E" w:rsidRPr="00672F1E">
        <w:t xml:space="preserve"> Online-Suchanfrage </w:t>
      </w:r>
      <w:r w:rsidR="005162FD">
        <w:t>von</w:t>
      </w:r>
      <w:r w:rsidR="00672F1E" w:rsidRPr="00672F1E">
        <w:t xml:space="preserve"> Verbraucher</w:t>
      </w:r>
      <w:r w:rsidR="005162FD">
        <w:t>n</w:t>
      </w:r>
      <w:r>
        <w:t xml:space="preserve"> sind nun unzulässig</w:t>
      </w:r>
      <w:r w:rsidR="00E7070A">
        <w:t>,</w:t>
      </w:r>
      <w:r w:rsidR="00672F1E" w:rsidRPr="00672F1E">
        <w:t xml:space="preserve"> </w:t>
      </w:r>
      <w:r>
        <w:t>wenn</w:t>
      </w:r>
      <w:r w:rsidR="00672F1E" w:rsidRPr="00672F1E">
        <w:t xml:space="preserve"> etwaige bezahlte Werbung oder spezielle Zahlungen</w:t>
      </w:r>
      <w:r w:rsidR="001A0795">
        <w:t xml:space="preserve"> zur Erreichung</w:t>
      </w:r>
      <w:r w:rsidR="00672F1E" w:rsidRPr="00672F1E">
        <w:t xml:space="preserve"> ein</w:t>
      </w:r>
      <w:r w:rsidR="001A0795">
        <w:t>es</w:t>
      </w:r>
      <w:r w:rsidR="00672F1E" w:rsidRPr="00672F1E">
        <w:t xml:space="preserve"> höhere</w:t>
      </w:r>
      <w:r w:rsidR="001A0795">
        <w:t>n</w:t>
      </w:r>
      <w:r w:rsidR="00672F1E" w:rsidRPr="00672F1E">
        <w:t xml:space="preserve"> Ranking</w:t>
      </w:r>
      <w:r w:rsidR="001A0795">
        <w:t>s</w:t>
      </w:r>
      <w:r w:rsidR="00672F1E" w:rsidRPr="00672F1E">
        <w:t xml:space="preserve"> der jeweiligen Produkte im Rahmen der Suchergebnisse </w:t>
      </w:r>
      <w:r>
        <w:t xml:space="preserve">nicht </w:t>
      </w:r>
      <w:r w:rsidR="00672F1E" w:rsidRPr="00672F1E">
        <w:t>eindeutig offengelegt werden</w:t>
      </w:r>
      <w:r w:rsidR="00E7070A">
        <w:t xml:space="preserve"> (Nr. 11a).</w:t>
      </w:r>
      <w:r w:rsidR="00A81D8F">
        <w:t xml:space="preserve"> </w:t>
      </w:r>
      <w:r w:rsidR="001A0795">
        <w:t>Die</w:t>
      </w:r>
      <w:r w:rsidR="00E423C9">
        <w:t xml:space="preserve"> Änderung des</w:t>
      </w:r>
      <w:r w:rsidR="00A81D8F">
        <w:t xml:space="preserve"> Anhang</w:t>
      </w:r>
      <w:r w:rsidR="00E423C9">
        <w:t>s</w:t>
      </w:r>
      <w:r w:rsidR="00A81D8F">
        <w:t xml:space="preserve"> der Richtlinie war</w:t>
      </w:r>
      <w:r w:rsidR="00037D23">
        <w:t xml:space="preserve"> </w:t>
      </w:r>
      <w:r w:rsidR="001A0795">
        <w:t>geboten</w:t>
      </w:r>
      <w:r w:rsidR="00E7070A" w:rsidRPr="00E7070A">
        <w:t xml:space="preserve">, um </w:t>
      </w:r>
      <w:r w:rsidR="001A0795">
        <w:t>zu verdeutlichen</w:t>
      </w:r>
      <w:r w:rsidR="00E7070A" w:rsidRPr="00E7070A">
        <w:t xml:space="preserve">, dass Geschäftspraktiken von Gewerbetreibenden </w:t>
      </w:r>
      <w:r w:rsidR="001A0795">
        <w:t xml:space="preserve">zu </w:t>
      </w:r>
      <w:r w:rsidR="00E7070A" w:rsidRPr="00E7070A">
        <w:t>verb</w:t>
      </w:r>
      <w:r w:rsidR="001A0795">
        <w:t>ieten sind</w:t>
      </w:r>
      <w:r w:rsidR="00E7070A" w:rsidRPr="00E7070A">
        <w:t>, durch die Verbrauchern Informationen in Form von Suchergebnissen bereitgestellt werden, ohne etwaige bezahlte Werbung oder Zahlungen</w:t>
      </w:r>
      <w:r w:rsidR="00A81D8F">
        <w:t xml:space="preserve"> zur Erreichung eines höheren Rankings</w:t>
      </w:r>
      <w:r w:rsidR="00E7070A" w:rsidRPr="00E7070A">
        <w:t xml:space="preserve"> der jeweiligen Produkte im Rahmen der Suchergebnisse</w:t>
      </w:r>
      <w:r w:rsidR="00A81D8F">
        <w:t xml:space="preserve"> </w:t>
      </w:r>
      <w:r w:rsidR="00E7070A" w:rsidRPr="00E7070A">
        <w:t>eindeutig offen</w:t>
      </w:r>
      <w:r w:rsidR="00037D23">
        <w:t>zulegen</w:t>
      </w:r>
      <w:r w:rsidR="00E7070A" w:rsidRPr="00E7070A">
        <w:t>. Wenn</w:t>
      </w:r>
      <w:r w:rsidR="00494FFF">
        <w:t xml:space="preserve"> der Anbieter</w:t>
      </w:r>
      <w:r w:rsidR="00E7070A" w:rsidRPr="00E7070A">
        <w:t xml:space="preserve"> einer Online-Suchfunktion </w:t>
      </w:r>
      <w:r w:rsidR="00494FFF">
        <w:t xml:space="preserve">von dem Gewerbetreibenden </w:t>
      </w:r>
      <w:r w:rsidR="00E7070A" w:rsidRPr="00E7070A">
        <w:t xml:space="preserve">unmittelbar oder mittelbar </w:t>
      </w:r>
      <w:r w:rsidR="001A0795">
        <w:t>für ein höheres Ranking im Rahmen des Suchergebnisses</w:t>
      </w:r>
      <w:r w:rsidR="00E7070A" w:rsidRPr="00E7070A">
        <w:t xml:space="preserve"> bezahlt </w:t>
      </w:r>
      <w:r w:rsidR="005915C1">
        <w:t>wurde</w:t>
      </w:r>
      <w:r w:rsidR="00E7070A" w:rsidRPr="00E7070A">
        <w:t>, sollte der Verbraucher über diese Tatsache in kurzer, einfach zugänglicher und verständlicher Weise informier</w:t>
      </w:r>
      <w:r w:rsidR="00A81D8F">
        <w:t>t werden</w:t>
      </w:r>
      <w:r w:rsidR="00E7070A" w:rsidRPr="00E7070A">
        <w:t>.</w:t>
      </w:r>
      <w:r w:rsidR="00E7070A">
        <w:rPr>
          <w:rStyle w:val="Funotenzeichen"/>
        </w:rPr>
        <w:footnoteReference w:id="1"/>
      </w:r>
    </w:p>
    <w:p w14:paraId="798C45BF" w14:textId="21F17C76" w:rsidR="00E7070A" w:rsidRDefault="00E7070A" w:rsidP="00231BEE">
      <w:pPr>
        <w:spacing w:before="75"/>
        <w:jc w:val="both"/>
      </w:pPr>
      <w:r>
        <w:t>Ebenfalls stets unzulässig sind</w:t>
      </w:r>
      <w:r w:rsidR="00494FFF">
        <w:t xml:space="preserve"> nun</w:t>
      </w:r>
      <w:r>
        <w:t xml:space="preserve"> </w:t>
      </w:r>
      <w:r w:rsidR="00EF5CF3">
        <w:t>Behauptung</w:t>
      </w:r>
      <w:r>
        <w:t>en</w:t>
      </w:r>
      <w:r w:rsidR="00EF5CF3">
        <w:t xml:space="preserve">, dass Bewertungen eines Produkts von Verbrauchern stammen, die das Produkt tatsächlich verwendet oder erworben haben, ohne dass angemessene und verhältnismäßige Schritte unternommen wurden, um zu prüfen, ob die Bewertungen wirklich von solchen Verbrauchern stammen </w:t>
      </w:r>
      <w:r>
        <w:t>(Nr. 23b).</w:t>
      </w:r>
      <w:r w:rsidR="00A81D8F">
        <w:t xml:space="preserve"> </w:t>
      </w:r>
      <w:r w:rsidRPr="00494FFF">
        <w:t xml:space="preserve">Verbraucher stützen sich bei ihren Kaufentscheidungen zunehmend auf Bewertungen und Empfehlungen von </w:t>
      </w:r>
      <w:r w:rsidR="00963B31">
        <w:t xml:space="preserve">anderen </w:t>
      </w:r>
      <w:r w:rsidRPr="00494FFF">
        <w:t xml:space="preserve">Verbrauchern. Wenn Gewerbetreibende </w:t>
      </w:r>
      <w:r w:rsidR="00963B31">
        <w:t>B</w:t>
      </w:r>
      <w:r w:rsidRPr="00494FFF">
        <w:t xml:space="preserve">ewertungen von Produkten zugänglich machen, sollten sie deshalb Verbraucher </w:t>
      </w:r>
      <w:r w:rsidR="001A0795">
        <w:t>umfassend</w:t>
      </w:r>
      <w:r w:rsidRPr="00494FFF">
        <w:t xml:space="preserve"> informieren</w:t>
      </w:r>
      <w:r w:rsidR="001A0795">
        <w:t>. Die Informationen sollen</w:t>
      </w:r>
      <w:r w:rsidRPr="00494FFF">
        <w:t xml:space="preserve"> Prozesse oder Verfahren </w:t>
      </w:r>
      <w:r w:rsidR="001A0795">
        <w:t>umfassen, die zur Anwendung kommen</w:t>
      </w:r>
      <w:r w:rsidRPr="00494FFF">
        <w:t xml:space="preserve">, um sicherzustellen, dass die veröffentlichten Bewertungen von Verbrauchern verfasst wurden, die die Produkte tatsächlich verwendet oder erworben haben. </w:t>
      </w:r>
      <w:r w:rsidR="00963B31">
        <w:t>Zudem sind dann</w:t>
      </w:r>
      <w:r w:rsidRPr="00494FFF">
        <w:t xml:space="preserve"> Informationen darüber bereitstellen, wie die entsprechenden Prüfungen ablaufen und mit Bewertungen umgegangen wird, etwa ob </w:t>
      </w:r>
      <w:r w:rsidR="000F371D">
        <w:t>sowohl positive als auch negative</w:t>
      </w:r>
      <w:r w:rsidRPr="00494FFF">
        <w:t xml:space="preserve"> Bewertungen</w:t>
      </w:r>
      <w:r w:rsidR="000F371D">
        <w:t xml:space="preserve"> </w:t>
      </w:r>
      <w:r w:rsidRPr="00494FFF">
        <w:lastRenderedPageBreak/>
        <w:t>veröffentlicht werden</w:t>
      </w:r>
      <w:r w:rsidR="000F371D">
        <w:t xml:space="preserve">. Zu </w:t>
      </w:r>
      <w:r w:rsidR="005162FD">
        <w:t>informieren ist auch darüber</w:t>
      </w:r>
      <w:r w:rsidR="000F371D">
        <w:t>,</w:t>
      </w:r>
      <w:r w:rsidRPr="00494FFF">
        <w:t xml:space="preserve"> ob diese Bewertungen im Wege eines Vertragsverhältnisses mit einem Gewerbetreibenden gesponsert oder beeinflusst wurden. </w:t>
      </w:r>
      <w:r w:rsidR="000F371D">
        <w:t>Entsprechende</w:t>
      </w:r>
      <w:r w:rsidRPr="00494FFF">
        <w:t xml:space="preserve"> </w:t>
      </w:r>
      <w:r w:rsidR="00963B31">
        <w:t>Maßnahmen</w:t>
      </w:r>
      <w:r w:rsidRPr="00494FFF">
        <w:t xml:space="preserve"> wären etwa</w:t>
      </w:r>
      <w:r w:rsidR="000F371D">
        <w:t xml:space="preserve"> der Einsatz</w:t>
      </w:r>
      <w:r w:rsidRPr="00494FFF">
        <w:t xml:space="preserve"> technische</w:t>
      </w:r>
      <w:r w:rsidR="000F371D">
        <w:t>r</w:t>
      </w:r>
      <w:r w:rsidRPr="00494FFF">
        <w:t xml:space="preserve"> Mittel zur Überprüfung der Glaubwürdigkeit einer Person, die eine Bewertung veröffentlicht</w:t>
      </w:r>
      <w:r w:rsidR="005162FD">
        <w:t>.</w:t>
      </w:r>
      <w:r w:rsidRPr="00494FFF">
        <w:t xml:space="preserve"> </w:t>
      </w:r>
      <w:r w:rsidR="005162FD">
        <w:t>Daher sind nun beispielsweise</w:t>
      </w:r>
      <w:r w:rsidRPr="00494FFF">
        <w:t xml:space="preserve"> </w:t>
      </w:r>
      <w:r w:rsidR="005162FD">
        <w:t>Nachweise anzufordern</w:t>
      </w:r>
      <w:r w:rsidRPr="00494FFF">
        <w:t>, ob ein Verbraucher das Produkt tatsächlich verwendet oder erworben hat.</w:t>
      </w:r>
      <w:r w:rsidR="0036545C">
        <w:rPr>
          <w:rStyle w:val="Funotenzeichen"/>
        </w:rPr>
        <w:footnoteReference w:id="2"/>
      </w:r>
    </w:p>
    <w:p w14:paraId="76A80C36" w14:textId="0E3F3DFC" w:rsidR="00E7070A" w:rsidRDefault="00F31118" w:rsidP="00231BEE">
      <w:pPr>
        <w:spacing w:before="75"/>
        <w:jc w:val="both"/>
      </w:pPr>
      <w:r>
        <w:t>Ein Verbot</w:t>
      </w:r>
      <w:r w:rsidR="00E7070A">
        <w:t xml:space="preserve"> gilt auch für die</w:t>
      </w:r>
      <w:r w:rsidR="00EF5CF3">
        <w:t xml:space="preserve"> Abgabe gefälschter Bewertungen oder Empfehlungen von Verbrauchern </w:t>
      </w:r>
      <w:r w:rsidR="00DB19BA">
        <w:t xml:space="preserve">sowie </w:t>
      </w:r>
      <w:r w:rsidR="00EF5CF3">
        <w:t>die Erteilung des Auftrags an andere juristische oder natürliche Personen, gefälschte Bewertungen oder Empfehlungen von Verbrauchern abzugeben</w:t>
      </w:r>
      <w:r w:rsidR="00DB19BA">
        <w:t>. Ebenso unlauter sind</w:t>
      </w:r>
      <w:r w:rsidR="00EF5CF3">
        <w:t xml:space="preserve"> falsche Darstellung</w:t>
      </w:r>
      <w:r w:rsidR="00DB19BA">
        <w:t>en</w:t>
      </w:r>
      <w:r w:rsidR="00EF5CF3">
        <w:t xml:space="preserve"> von Verbraucherbewertungen oder Empfehlungen in sozialen Medien zu Zwecken der Verkaufsförderung</w:t>
      </w:r>
      <w:r w:rsidR="00E7070A">
        <w:t xml:space="preserve"> (Nr. 23c).</w:t>
      </w:r>
      <w:r w:rsidR="00794FD2">
        <w:t xml:space="preserve"> </w:t>
      </w:r>
      <w:r w:rsidR="00E7070A" w:rsidRPr="00494FFF">
        <w:t xml:space="preserve">Gewerbetreibenden </w:t>
      </w:r>
      <w:r w:rsidR="00DB19BA">
        <w:t>ist es daher untersagt</w:t>
      </w:r>
      <w:r w:rsidR="00E7070A" w:rsidRPr="00494FFF">
        <w:t xml:space="preserve">, gefälschte Bewertungen und Empfehlungen von Verbrauchern, </w:t>
      </w:r>
      <w:r w:rsidR="00FC7BFB">
        <w:t>wie etwa</w:t>
      </w:r>
      <w:r w:rsidR="00E7070A" w:rsidRPr="00494FFF">
        <w:t xml:space="preserve"> „likes“</w:t>
      </w:r>
      <w:r w:rsidR="00FC7BFB">
        <w:t>,</w:t>
      </w:r>
      <w:r w:rsidR="00E7070A" w:rsidRPr="00494FFF">
        <w:t xml:space="preserve"> in sozialen Medien abzugeben oder in ihrem Auftrag durch andere abgeben zu lassen, um für ihre Produkte zu </w:t>
      </w:r>
      <w:r w:rsidR="00F80013">
        <w:t>werben</w:t>
      </w:r>
      <w:r w:rsidR="00DB19BA">
        <w:t>. Dasselbe soll für</w:t>
      </w:r>
      <w:r w:rsidR="00E7070A" w:rsidRPr="00494FFF">
        <w:t xml:space="preserve"> </w:t>
      </w:r>
      <w:r w:rsidR="00DB19BA">
        <w:t xml:space="preserve">die Manipulation von </w:t>
      </w:r>
      <w:r w:rsidR="00E7070A" w:rsidRPr="00494FFF">
        <w:t xml:space="preserve">Bewertungen und Empfehlungen </w:t>
      </w:r>
      <w:r w:rsidR="00DB19BA">
        <w:t>gelten</w:t>
      </w:r>
      <w:r w:rsidR="00E7070A" w:rsidRPr="00494FFF">
        <w:t>, indem etwa nur positive Bewertungen veröffentlicht, negative hingegen gelöscht werden.</w:t>
      </w:r>
      <w:r w:rsidR="005915C1">
        <w:rPr>
          <w:rStyle w:val="Funotenzeichen"/>
        </w:rPr>
        <w:footnoteReference w:id="3"/>
      </w:r>
      <w:r w:rsidR="00E7070A" w:rsidRPr="00494FFF">
        <w:t xml:space="preserve"> Eine derartige Praktik könnte auch durch Extrapolation von Empfehlungen erfolgen, wenn die positive Interaktion eines Nutzers mit einem bestimmten Online-Inhalt mit einem anderen</w:t>
      </w:r>
      <w:r>
        <w:t xml:space="preserve"> </w:t>
      </w:r>
      <w:r w:rsidR="00E7070A" w:rsidRPr="00494FFF">
        <w:t>im Zusammenhang damit stehenden Inhalt verknüpft oder auf diesen übertragen wird</w:t>
      </w:r>
      <w:r w:rsidR="001A0795">
        <w:t xml:space="preserve"> und</w:t>
      </w:r>
      <w:r w:rsidR="00E7070A" w:rsidRPr="00494FFF">
        <w:t xml:space="preserve"> den Anschein erweckt, der Nutzer befürworte auch den im Zusammenhang damit stehenden Inhalt.</w:t>
      </w:r>
      <w:r w:rsidR="0036545C">
        <w:rPr>
          <w:rStyle w:val="Funotenzeichen"/>
        </w:rPr>
        <w:footnoteReference w:id="4"/>
      </w:r>
    </w:p>
    <w:p w14:paraId="6B60C5BE" w14:textId="77777777" w:rsidR="0036545C" w:rsidRDefault="0036545C" w:rsidP="00231BEE">
      <w:pPr>
        <w:spacing w:before="75"/>
        <w:jc w:val="both"/>
        <w:rPr>
          <w:u w:val="single"/>
        </w:rPr>
      </w:pPr>
    </w:p>
    <w:p w14:paraId="6F8CB948" w14:textId="66371D02" w:rsidR="00494FFF" w:rsidRPr="00B67D25" w:rsidRDefault="00B67D25" w:rsidP="00231BEE">
      <w:pPr>
        <w:spacing w:before="75"/>
        <w:jc w:val="both"/>
        <w:rPr>
          <w:u w:val="single"/>
        </w:rPr>
      </w:pPr>
      <w:r w:rsidRPr="00B67D25">
        <w:rPr>
          <w:u w:val="single"/>
        </w:rPr>
        <w:t>Schlussfolgerungen</w:t>
      </w:r>
    </w:p>
    <w:p w14:paraId="7A5A6EEC" w14:textId="13F4641C" w:rsidR="00494FFF" w:rsidRPr="00494FFF" w:rsidRDefault="00DB19BA" w:rsidP="00231BEE">
      <w:pPr>
        <w:spacing w:before="75"/>
        <w:jc w:val="both"/>
      </w:pPr>
      <w:r>
        <w:t xml:space="preserve">Bewertungen </w:t>
      </w:r>
      <w:r w:rsidR="00F31118">
        <w:t xml:space="preserve">und Rankings </w:t>
      </w:r>
      <w:r>
        <w:t xml:space="preserve">haben einen großen Einfluss auf die Entscheidungen und das Verhalten der Verbraucher. </w:t>
      </w:r>
      <w:r w:rsidR="00494FFF">
        <w:t>Sinn der Änderungen ist es</w:t>
      </w:r>
      <w:r>
        <w:t xml:space="preserve"> daher</w:t>
      </w:r>
      <w:r w:rsidR="00494FFF">
        <w:t>, Verbraucher darüber aufzuklären</w:t>
      </w:r>
      <w:r w:rsidR="0073700E">
        <w:t>,</w:t>
      </w:r>
      <w:r w:rsidR="00494FFF">
        <w:t xml:space="preserve"> unter welchen Umständen Bewertungen zustande kommen, um eine zuverlässige Einschätzung </w:t>
      </w:r>
      <w:r w:rsidR="00F80013">
        <w:t xml:space="preserve">bei der Kaufentscheidung </w:t>
      </w:r>
      <w:r w:rsidR="00494FFF">
        <w:t>vornehmen zu können. Daher sind die Unternehmer nun verpflichtet</w:t>
      </w:r>
      <w:r w:rsidR="000D7994">
        <w:t>,</w:t>
      </w:r>
      <w:r w:rsidR="00494FFF">
        <w:t xml:space="preserve"> sicherzustellen, dass keine </w:t>
      </w:r>
      <w:r w:rsidR="000A682E">
        <w:t xml:space="preserve">gefälschten oder finanziell beeinflussten </w:t>
      </w:r>
      <w:r w:rsidR="00494FFF">
        <w:t>Bewertungen die Entscheidungen der Verbraucher beein</w:t>
      </w:r>
      <w:r w:rsidR="000D7994">
        <w:t>trächtigen</w:t>
      </w:r>
      <w:r>
        <w:t xml:space="preserve"> und</w:t>
      </w:r>
      <w:r w:rsidR="00F31118">
        <w:t xml:space="preserve"> </w:t>
      </w:r>
      <w:r w:rsidR="000A682E">
        <w:t xml:space="preserve">sie haben </w:t>
      </w:r>
      <w:r>
        <w:t>darüber aufzuklären, wie die</w:t>
      </w:r>
      <w:r w:rsidR="000A682E">
        <w:t>se</w:t>
      </w:r>
      <w:r>
        <w:t xml:space="preserve"> Sicherstellung erfolgt</w:t>
      </w:r>
      <w:r w:rsidR="00494FFF">
        <w:t>.</w:t>
      </w:r>
      <w:r w:rsidR="00B67D25">
        <w:t xml:space="preserve"> Zudem ist es ihnen untersagt, selbst gefälschte Bewertungen zu veranlassen. </w:t>
      </w:r>
      <w:r w:rsidR="000A682E">
        <w:t>Außerdem</w:t>
      </w:r>
      <w:r w:rsidR="00B67D25" w:rsidRPr="00B67D25">
        <w:t xml:space="preserve"> muss bei Online-Suchmaschinen offenbart werden, wenn das Ranking im Suchergebnis durch bezahlte Werbung oder andere Zahlungen </w:t>
      </w:r>
      <w:r>
        <w:t>beeinflusst</w:t>
      </w:r>
      <w:r w:rsidR="00B67D25" w:rsidRPr="00B67D25">
        <w:t xml:space="preserve"> wurde. Behauptet ein Unternehmen ungeprüft, Produktbewertungen stammten von Verbrauchern, die das Produkt tatsächlich verwendet oder erworben haben, ist dies ebenso unlauter wie die </w:t>
      </w:r>
      <w:r w:rsidR="00B67D25">
        <w:t>Beauftragung</w:t>
      </w:r>
      <w:r w:rsidR="00B67D25" w:rsidRPr="00B67D25">
        <w:t xml:space="preserve"> oder </w:t>
      </w:r>
      <w:r w:rsidR="00B67D25">
        <w:t>Abgabe</w:t>
      </w:r>
      <w:r w:rsidR="00B67D25" w:rsidRPr="00B67D25">
        <w:t xml:space="preserve"> gefälschter Verbraucherbewertungen und </w:t>
      </w:r>
      <w:r w:rsidR="000A682E">
        <w:t xml:space="preserve">die </w:t>
      </w:r>
      <w:r w:rsidR="00B67D25">
        <w:t>verfälschte</w:t>
      </w:r>
      <w:r w:rsidR="00B67D25" w:rsidRPr="00B67D25">
        <w:t xml:space="preserve"> Darstellung von </w:t>
      </w:r>
      <w:r w:rsidR="00B67D25">
        <w:t xml:space="preserve">Bewertungen von </w:t>
      </w:r>
      <w:r>
        <w:t>Verbrauchern</w:t>
      </w:r>
      <w:r w:rsidR="00B67D25" w:rsidRPr="00B67D25">
        <w:t xml:space="preserve"> in </w:t>
      </w:r>
      <w:r w:rsidR="00F31118">
        <w:t>s</w:t>
      </w:r>
      <w:r w:rsidR="00B67D25" w:rsidRPr="00B67D25">
        <w:t>ozialen Medien.</w:t>
      </w:r>
      <w:r w:rsidR="00B67D25">
        <w:rPr>
          <w:rStyle w:val="Funotenzeichen"/>
        </w:rPr>
        <w:footnoteReference w:id="5"/>
      </w:r>
      <w:r w:rsidR="000F371D">
        <w:t xml:space="preserve"> Die Änderung hat daher zur Folge, dass den Unternehmen erhöhte Informationspflichten zukommen und es zum </w:t>
      </w:r>
      <w:r w:rsidR="005915C1">
        <w:t xml:space="preserve">vermehrten </w:t>
      </w:r>
      <w:r w:rsidR="000F371D">
        <w:t xml:space="preserve">Einsatz technischer Mittel zur </w:t>
      </w:r>
      <w:r w:rsidR="005915C1">
        <w:t xml:space="preserve">Überprüfung der Bewertungen sowie zur </w:t>
      </w:r>
      <w:r w:rsidR="000F371D">
        <w:t xml:space="preserve">Vermeidung </w:t>
      </w:r>
      <w:r w:rsidR="000D7994">
        <w:t>etwaiger</w:t>
      </w:r>
      <w:r w:rsidR="000F371D">
        <w:t xml:space="preserve"> Irreführung</w:t>
      </w:r>
      <w:r w:rsidR="000D7994">
        <w:t>en</w:t>
      </w:r>
      <w:r w:rsidR="000F371D">
        <w:t xml:space="preserve"> kommen sollte. </w:t>
      </w:r>
    </w:p>
    <w:sectPr w:rsidR="00494FFF" w:rsidRPr="00494F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A9CC" w14:textId="77777777" w:rsidR="000C4E38" w:rsidRDefault="000C4E38" w:rsidP="00434110">
      <w:pPr>
        <w:spacing w:after="0" w:line="240" w:lineRule="auto"/>
      </w:pPr>
      <w:r>
        <w:separator/>
      </w:r>
    </w:p>
  </w:endnote>
  <w:endnote w:type="continuationSeparator" w:id="0">
    <w:p w14:paraId="4BC48AB6" w14:textId="77777777" w:rsidR="000C4E38" w:rsidRDefault="000C4E38" w:rsidP="004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35DF" w14:textId="77777777" w:rsidR="000C4E38" w:rsidRDefault="000C4E38" w:rsidP="00434110">
      <w:pPr>
        <w:spacing w:after="0" w:line="240" w:lineRule="auto"/>
      </w:pPr>
      <w:r>
        <w:separator/>
      </w:r>
    </w:p>
  </w:footnote>
  <w:footnote w:type="continuationSeparator" w:id="0">
    <w:p w14:paraId="1941E5D6" w14:textId="77777777" w:rsidR="000C4E38" w:rsidRDefault="000C4E38" w:rsidP="00434110">
      <w:pPr>
        <w:spacing w:after="0" w:line="240" w:lineRule="auto"/>
      </w:pPr>
      <w:r>
        <w:continuationSeparator/>
      </w:r>
    </w:p>
  </w:footnote>
  <w:footnote w:id="1">
    <w:p w14:paraId="1CE85C5E" w14:textId="22862927" w:rsidR="00E7070A" w:rsidRDefault="00E7070A">
      <w:pPr>
        <w:pStyle w:val="Funotentext"/>
      </w:pPr>
      <w:r>
        <w:rPr>
          <w:rStyle w:val="Funotenzeichen"/>
        </w:rPr>
        <w:footnoteRef/>
      </w:r>
      <w:r>
        <w:t xml:space="preserve"> </w:t>
      </w:r>
      <w:r w:rsidR="0073700E">
        <w:t>Erwägungsgrund</w:t>
      </w:r>
      <w:r>
        <w:t xml:space="preserve"> 20.</w:t>
      </w:r>
    </w:p>
  </w:footnote>
  <w:footnote w:id="2">
    <w:p w14:paraId="4ADC3CA7" w14:textId="001C7923" w:rsidR="0036545C" w:rsidRDefault="0036545C">
      <w:pPr>
        <w:pStyle w:val="Funotentext"/>
      </w:pPr>
      <w:r>
        <w:rPr>
          <w:rStyle w:val="Funotenzeichen"/>
        </w:rPr>
        <w:footnoteRef/>
      </w:r>
      <w:r>
        <w:t xml:space="preserve"> </w:t>
      </w:r>
      <w:r w:rsidR="0073700E">
        <w:t>Erwägungsgrund</w:t>
      </w:r>
      <w:r>
        <w:t xml:space="preserve"> 47.</w:t>
      </w:r>
    </w:p>
  </w:footnote>
  <w:footnote w:id="3">
    <w:p w14:paraId="2B39B1B5" w14:textId="24C4BF56" w:rsidR="005915C1" w:rsidRDefault="005915C1">
      <w:pPr>
        <w:pStyle w:val="Funotentext"/>
      </w:pPr>
      <w:r>
        <w:rPr>
          <w:rStyle w:val="Funotenzeichen"/>
        </w:rPr>
        <w:footnoteRef/>
      </w:r>
      <w:r>
        <w:t xml:space="preserve"> </w:t>
      </w:r>
      <w:r w:rsidR="0073700E">
        <w:t>Erwägungsgrund</w:t>
      </w:r>
      <w:r>
        <w:t xml:space="preserve"> 49.</w:t>
      </w:r>
    </w:p>
  </w:footnote>
  <w:footnote w:id="4">
    <w:p w14:paraId="7F839B7F" w14:textId="64176CC4" w:rsidR="0036545C" w:rsidRDefault="0036545C">
      <w:pPr>
        <w:pStyle w:val="Funotentext"/>
      </w:pPr>
      <w:r>
        <w:rPr>
          <w:rStyle w:val="Funotenzeichen"/>
        </w:rPr>
        <w:footnoteRef/>
      </w:r>
      <w:r>
        <w:t xml:space="preserve"> </w:t>
      </w:r>
      <w:r w:rsidR="0073700E">
        <w:t>Erwägungsgrund</w:t>
      </w:r>
      <w:r>
        <w:t xml:space="preserve"> 49.</w:t>
      </w:r>
    </w:p>
  </w:footnote>
  <w:footnote w:id="5">
    <w:p w14:paraId="248D559F" w14:textId="26B5F92C" w:rsidR="00B67D25" w:rsidRDefault="00B67D25">
      <w:pPr>
        <w:pStyle w:val="Funotentext"/>
      </w:pPr>
      <w:r>
        <w:rPr>
          <w:rStyle w:val="Funotenzeichen"/>
        </w:rPr>
        <w:footnoteRef/>
      </w:r>
      <w:r>
        <w:t xml:space="preserve"> </w:t>
      </w:r>
      <w:hyperlink r:id="rId1" w:history="1">
        <w:r>
          <w:rPr>
            <w:rStyle w:val="Hyperlink"/>
          </w:rPr>
          <w:t>https://www.beiten-burkhardt.com/de/blogs/verschaerfung-von-wettbewerbsrecht-und-agb-recht-kuenftig-millionenbussgelder-eu-omnibus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F698" w14:textId="69A4680E" w:rsidR="00231BEE" w:rsidRPr="00231BEE" w:rsidRDefault="00231BEE" w:rsidP="00231BEE">
    <w:pPr>
      <w:jc w:val="both"/>
    </w:pPr>
    <w:r w:rsidRPr="00231BEE">
      <w:t xml:space="preserve">Info-Brief vom </w:t>
    </w:r>
    <w:r w:rsidR="00FC434C">
      <w:t>14</w:t>
    </w:r>
    <w:r w:rsidRPr="00231BEE">
      <w:t>.0</w:t>
    </w:r>
    <w:r w:rsidR="00FC434C">
      <w:t>9</w:t>
    </w:r>
    <w:r w:rsidRPr="00231BEE">
      <w:t>.20</w:t>
    </w:r>
    <w:r w:rsidR="00EF5CF3">
      <w:t>20</w:t>
    </w:r>
  </w:p>
  <w:p w14:paraId="17040B33" w14:textId="77777777" w:rsidR="00231BEE" w:rsidRDefault="00231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F1C"/>
    <w:multiLevelType w:val="multilevel"/>
    <w:tmpl w:val="A3B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A7EFF"/>
    <w:multiLevelType w:val="multilevel"/>
    <w:tmpl w:val="C3D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0A"/>
    <w:rsid w:val="00037D23"/>
    <w:rsid w:val="000A682E"/>
    <w:rsid w:val="000B3FD1"/>
    <w:rsid w:val="000C4E38"/>
    <w:rsid w:val="000D7994"/>
    <w:rsid w:val="000F371D"/>
    <w:rsid w:val="000F4C0A"/>
    <w:rsid w:val="001030A4"/>
    <w:rsid w:val="0012540D"/>
    <w:rsid w:val="00190E84"/>
    <w:rsid w:val="001A0795"/>
    <w:rsid w:val="001B41B1"/>
    <w:rsid w:val="001B5E48"/>
    <w:rsid w:val="002101C3"/>
    <w:rsid w:val="00231BEE"/>
    <w:rsid w:val="00287E75"/>
    <w:rsid w:val="002B4A2D"/>
    <w:rsid w:val="0036545C"/>
    <w:rsid w:val="00375B29"/>
    <w:rsid w:val="003B492A"/>
    <w:rsid w:val="00434110"/>
    <w:rsid w:val="00494FFF"/>
    <w:rsid w:val="005162FD"/>
    <w:rsid w:val="005915C1"/>
    <w:rsid w:val="00672F1E"/>
    <w:rsid w:val="0069291D"/>
    <w:rsid w:val="00724179"/>
    <w:rsid w:val="0073700E"/>
    <w:rsid w:val="00756526"/>
    <w:rsid w:val="00794FD2"/>
    <w:rsid w:val="00957CF0"/>
    <w:rsid w:val="00963B31"/>
    <w:rsid w:val="009B4A1B"/>
    <w:rsid w:val="009E3BF4"/>
    <w:rsid w:val="009E4E4F"/>
    <w:rsid w:val="00A66349"/>
    <w:rsid w:val="00A81D8F"/>
    <w:rsid w:val="00A873C6"/>
    <w:rsid w:val="00B67D25"/>
    <w:rsid w:val="00B73235"/>
    <w:rsid w:val="00C24020"/>
    <w:rsid w:val="00C54EF4"/>
    <w:rsid w:val="00C93093"/>
    <w:rsid w:val="00CD0CB0"/>
    <w:rsid w:val="00CE3745"/>
    <w:rsid w:val="00CF7C27"/>
    <w:rsid w:val="00DB19BA"/>
    <w:rsid w:val="00E423C9"/>
    <w:rsid w:val="00E7070A"/>
    <w:rsid w:val="00E74FC6"/>
    <w:rsid w:val="00EA718D"/>
    <w:rsid w:val="00EF5CF3"/>
    <w:rsid w:val="00F31118"/>
    <w:rsid w:val="00F517FB"/>
    <w:rsid w:val="00F65D33"/>
    <w:rsid w:val="00F80013"/>
    <w:rsid w:val="00F93F20"/>
    <w:rsid w:val="00FC3B23"/>
    <w:rsid w:val="00FC434C"/>
    <w:rsid w:val="00FC7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3103"/>
  <w15:chartTrackingRefBased/>
  <w15:docId w15:val="{5578AE67-9109-470C-A553-F62FC88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66349"/>
    <w:rPr>
      <w:i/>
      <w:iCs/>
    </w:rPr>
  </w:style>
  <w:style w:type="paragraph" w:styleId="Funotentext">
    <w:name w:val="footnote text"/>
    <w:basedOn w:val="Standard"/>
    <w:link w:val="FunotentextZchn"/>
    <w:uiPriority w:val="99"/>
    <w:semiHidden/>
    <w:unhideWhenUsed/>
    <w:rsid w:val="004341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4110"/>
    <w:rPr>
      <w:sz w:val="20"/>
      <w:szCs w:val="20"/>
    </w:rPr>
  </w:style>
  <w:style w:type="character" w:styleId="Funotenzeichen">
    <w:name w:val="footnote reference"/>
    <w:basedOn w:val="Absatz-Standardschriftart"/>
    <w:uiPriority w:val="99"/>
    <w:semiHidden/>
    <w:unhideWhenUsed/>
    <w:rsid w:val="00434110"/>
    <w:rPr>
      <w:vertAlign w:val="superscript"/>
    </w:rPr>
  </w:style>
  <w:style w:type="paragraph" w:styleId="Kopfzeile">
    <w:name w:val="header"/>
    <w:basedOn w:val="Standard"/>
    <w:link w:val="KopfzeileZchn"/>
    <w:uiPriority w:val="99"/>
    <w:unhideWhenUsed/>
    <w:rsid w:val="00231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BEE"/>
  </w:style>
  <w:style w:type="paragraph" w:styleId="Fuzeile">
    <w:name w:val="footer"/>
    <w:basedOn w:val="Standard"/>
    <w:link w:val="FuzeileZchn"/>
    <w:uiPriority w:val="99"/>
    <w:unhideWhenUsed/>
    <w:rsid w:val="00231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BEE"/>
  </w:style>
  <w:style w:type="character" w:styleId="Fett">
    <w:name w:val="Strong"/>
    <w:basedOn w:val="Absatz-Standardschriftart"/>
    <w:uiPriority w:val="22"/>
    <w:qFormat/>
    <w:rsid w:val="00EF5CF3"/>
    <w:rPr>
      <w:b/>
      <w:bCs/>
    </w:rPr>
  </w:style>
  <w:style w:type="paragraph" w:styleId="Sprechblasentext">
    <w:name w:val="Balloon Text"/>
    <w:basedOn w:val="Standard"/>
    <w:link w:val="SprechblasentextZchn"/>
    <w:uiPriority w:val="99"/>
    <w:semiHidden/>
    <w:unhideWhenUsed/>
    <w:rsid w:val="00A873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3C6"/>
    <w:rPr>
      <w:rFonts w:ascii="Segoe UI" w:hAnsi="Segoe UI" w:cs="Segoe UI"/>
      <w:sz w:val="18"/>
      <w:szCs w:val="18"/>
    </w:rPr>
  </w:style>
  <w:style w:type="character" w:styleId="Hyperlink">
    <w:name w:val="Hyperlink"/>
    <w:basedOn w:val="Absatz-Standardschriftart"/>
    <w:uiPriority w:val="99"/>
    <w:semiHidden/>
    <w:unhideWhenUsed/>
    <w:rsid w:val="00B67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4125">
      <w:bodyDiv w:val="1"/>
      <w:marLeft w:val="0"/>
      <w:marRight w:val="0"/>
      <w:marTop w:val="0"/>
      <w:marBottom w:val="0"/>
      <w:divBdr>
        <w:top w:val="none" w:sz="0" w:space="0" w:color="auto"/>
        <w:left w:val="none" w:sz="0" w:space="0" w:color="auto"/>
        <w:bottom w:val="none" w:sz="0" w:space="0" w:color="auto"/>
        <w:right w:val="none" w:sz="0" w:space="0" w:color="auto"/>
      </w:divBdr>
      <w:divsChild>
        <w:div w:id="905411257">
          <w:marLeft w:val="0"/>
          <w:marRight w:val="0"/>
          <w:marTop w:val="0"/>
          <w:marBottom w:val="0"/>
          <w:divBdr>
            <w:top w:val="none" w:sz="0" w:space="0" w:color="auto"/>
            <w:left w:val="none" w:sz="0" w:space="0" w:color="auto"/>
            <w:bottom w:val="none" w:sz="0" w:space="0" w:color="auto"/>
            <w:right w:val="none" w:sz="0" w:space="0" w:color="auto"/>
          </w:divBdr>
          <w:divsChild>
            <w:div w:id="1523547486">
              <w:marLeft w:val="0"/>
              <w:marRight w:val="0"/>
              <w:marTop w:val="0"/>
              <w:marBottom w:val="0"/>
              <w:divBdr>
                <w:top w:val="none" w:sz="0" w:space="0" w:color="auto"/>
                <w:left w:val="none" w:sz="0" w:space="0" w:color="auto"/>
                <w:bottom w:val="none" w:sz="0" w:space="0" w:color="auto"/>
                <w:right w:val="none" w:sz="0" w:space="0" w:color="auto"/>
              </w:divBdr>
              <w:divsChild>
                <w:div w:id="1944412059">
                  <w:marLeft w:val="0"/>
                  <w:marRight w:val="0"/>
                  <w:marTop w:val="0"/>
                  <w:marBottom w:val="0"/>
                  <w:divBdr>
                    <w:top w:val="none" w:sz="0" w:space="0" w:color="auto"/>
                    <w:left w:val="none" w:sz="0" w:space="0" w:color="auto"/>
                    <w:bottom w:val="none" w:sz="0" w:space="0" w:color="auto"/>
                    <w:right w:val="none" w:sz="0" w:space="0" w:color="auto"/>
                  </w:divBdr>
                  <w:divsChild>
                    <w:div w:id="1096243639">
                      <w:marLeft w:val="0"/>
                      <w:marRight w:val="0"/>
                      <w:marTop w:val="0"/>
                      <w:marBottom w:val="0"/>
                      <w:divBdr>
                        <w:top w:val="none" w:sz="0" w:space="0" w:color="auto"/>
                        <w:left w:val="none" w:sz="0" w:space="0" w:color="auto"/>
                        <w:bottom w:val="none" w:sz="0" w:space="0" w:color="auto"/>
                        <w:right w:val="none" w:sz="0" w:space="0" w:color="auto"/>
                      </w:divBdr>
                      <w:divsChild>
                        <w:div w:id="1120802232">
                          <w:marLeft w:val="0"/>
                          <w:marRight w:val="0"/>
                          <w:marTop w:val="0"/>
                          <w:marBottom w:val="0"/>
                          <w:divBdr>
                            <w:top w:val="none" w:sz="0" w:space="0" w:color="auto"/>
                            <w:left w:val="none" w:sz="0" w:space="0" w:color="auto"/>
                            <w:bottom w:val="none" w:sz="0" w:space="0" w:color="auto"/>
                            <w:right w:val="none" w:sz="0" w:space="0" w:color="auto"/>
                          </w:divBdr>
                          <w:divsChild>
                            <w:div w:id="375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eiten-burkhardt.com/de/blogs/verschaerfung-von-wettbewerbsrecht-und-agb-recht-kuenftig-millionenbussgelder-eu-omnib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DFC-B4E8-4D6A-A689-2D87FF9F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Schneider</dc:creator>
  <cp:keywords/>
  <dc:description/>
  <cp:lastModifiedBy>s318323</cp:lastModifiedBy>
  <cp:revision>14</cp:revision>
  <cp:lastPrinted>2020-09-16T05:55:00Z</cp:lastPrinted>
  <dcterms:created xsi:type="dcterms:W3CDTF">2020-08-25T06:24:00Z</dcterms:created>
  <dcterms:modified xsi:type="dcterms:W3CDTF">2020-09-24T12:22:00Z</dcterms:modified>
</cp:coreProperties>
</file>